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D1D4CA5" w:rsidR="001E41F3" w:rsidRDefault="007D1865">
      <w:pPr>
        <w:pStyle w:val="CRCoverPage"/>
        <w:tabs>
          <w:tab w:val="right" w:pos="9639"/>
        </w:tabs>
        <w:spacing w:after="0"/>
        <w:rPr>
          <w:b/>
          <w:i/>
          <w:noProof/>
          <w:sz w:val="28"/>
        </w:rPr>
      </w:pPr>
      <w:r w:rsidRPr="007D1865">
        <w:rPr>
          <w:b/>
          <w:noProof/>
          <w:sz w:val="24"/>
        </w:rPr>
        <w:t>3GPP TSG-RAN4 Meeting #116</w:t>
      </w:r>
      <w:r w:rsidR="001E41F3">
        <w:rPr>
          <w:b/>
          <w:i/>
          <w:noProof/>
          <w:sz w:val="28"/>
        </w:rPr>
        <w:tab/>
      </w:r>
      <w:r w:rsidR="004419A4" w:rsidRPr="004419A4">
        <w:rPr>
          <w:b/>
          <w:sz w:val="24"/>
        </w:rPr>
        <w:t>R4-2509919</w:t>
      </w:r>
    </w:p>
    <w:p w14:paraId="7F83DF66" w14:textId="2856D343" w:rsidR="00BA1DF9" w:rsidRDefault="00384F48" w:rsidP="005E2C44">
      <w:pPr>
        <w:pStyle w:val="CRCoverPage"/>
        <w:outlineLvl w:val="0"/>
        <w:rPr>
          <w:b/>
          <w:noProof/>
          <w:sz w:val="24"/>
        </w:rPr>
      </w:pPr>
      <w:r w:rsidRPr="00872CC6">
        <w:rPr>
          <w:b/>
          <w:noProof/>
          <w:sz w:val="24"/>
        </w:rPr>
        <w:t>Bengaluru, India</w:t>
      </w:r>
      <w:r w:rsidR="001E41F3">
        <w:rPr>
          <w:b/>
          <w:noProof/>
          <w:sz w:val="24"/>
        </w:rPr>
        <w:t xml:space="preserve">, </w:t>
      </w:r>
      <w:r w:rsidR="007D1865" w:rsidRPr="007D1865">
        <w:rPr>
          <w:b/>
          <w:noProof/>
          <w:sz w:val="24"/>
        </w:rPr>
        <w:t>25th - 29th August, 2025</w:t>
      </w:r>
    </w:p>
    <w:p w14:paraId="7F07CF30" w14:textId="77777777" w:rsidR="00BA1DF9" w:rsidRDefault="00BA1DF9" w:rsidP="005E2C44">
      <w:pPr>
        <w:pStyle w:val="CRCoverPage"/>
        <w:outlineLvl w:val="0"/>
        <w:rPr>
          <w:b/>
          <w:noProof/>
          <w:sz w:val="24"/>
        </w:rPr>
      </w:pPr>
    </w:p>
    <w:p w14:paraId="3F791D6E" w14:textId="60B53BC6" w:rsidR="00BA1DF9" w:rsidRDefault="00BA1DF9" w:rsidP="00BA1DF9">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D64745">
        <w:rPr>
          <w:rFonts w:ascii="Arial" w:hAnsi="Arial" w:cs="Arial"/>
          <w:noProof/>
          <w:sz w:val="24"/>
        </w:rPr>
        <w:t>7.10.3.1</w:t>
      </w:r>
    </w:p>
    <w:p w14:paraId="658DE6F3" w14:textId="77777777" w:rsidR="00BA1DF9" w:rsidRPr="00AD7F2B" w:rsidRDefault="00BA1DF9" w:rsidP="00BA1DF9">
      <w:pPr>
        <w:rPr>
          <w:rFonts w:ascii="Arial" w:hAnsi="Arial" w:cs="Arial"/>
          <w:noProof/>
          <w:sz w:val="24"/>
        </w:rPr>
      </w:pPr>
      <w:r>
        <w:rPr>
          <w:rFonts w:ascii="Arial" w:hAnsi="Arial" w:cs="Arial"/>
          <w:b/>
          <w:noProof/>
          <w:sz w:val="24"/>
        </w:rPr>
        <w:t>Source:</w:t>
      </w:r>
      <w:r w:rsidRPr="00AD7F2B">
        <w:rPr>
          <w:rFonts w:ascii="Arial" w:hAnsi="Arial" w:cs="Arial"/>
          <w:noProof/>
          <w:sz w:val="24"/>
        </w:rPr>
        <w:tab/>
      </w:r>
      <w:r w:rsidRPr="00AD7F2B">
        <w:rPr>
          <w:rFonts w:ascii="Arial" w:hAnsi="Arial" w:cs="Arial"/>
          <w:noProof/>
          <w:sz w:val="24"/>
        </w:rPr>
        <w:tab/>
      </w:r>
      <w:r w:rsidRPr="00AD7F2B">
        <w:rPr>
          <w:rFonts w:ascii="Arial" w:hAnsi="Arial" w:cs="Arial"/>
          <w:noProof/>
          <w:sz w:val="24"/>
        </w:rPr>
        <w:tab/>
      </w:r>
      <w:r w:rsidRPr="00AD7F2B">
        <w:rPr>
          <w:rFonts w:ascii="Arial" w:hAnsi="Arial" w:cs="Arial"/>
          <w:noProof/>
          <w:sz w:val="24"/>
        </w:rPr>
        <w:tab/>
        <w:t>Keysight Technologies UK Ltd</w:t>
      </w:r>
    </w:p>
    <w:p w14:paraId="339D269C" w14:textId="566409C1" w:rsidR="00BA1DF9" w:rsidRDefault="00BA1DF9" w:rsidP="00BA1DF9">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040B46">
        <w:rPr>
          <w:rFonts w:ascii="Arial" w:hAnsi="Arial" w:cs="Arial"/>
          <w:noProof/>
          <w:sz w:val="24"/>
        </w:rPr>
        <w:t xml:space="preserve">On </w:t>
      </w:r>
      <w:r w:rsidR="00AD0C3F">
        <w:rPr>
          <w:rFonts w:ascii="Arial" w:hAnsi="Arial" w:cs="Arial"/>
          <w:noProof/>
          <w:sz w:val="24"/>
        </w:rPr>
        <w:t>XR</w:t>
      </w:r>
      <w:r w:rsidR="004E1FEA">
        <w:rPr>
          <w:rFonts w:ascii="Arial" w:hAnsi="Arial" w:cs="Arial"/>
          <w:noProof/>
          <w:sz w:val="24"/>
        </w:rPr>
        <w:t xml:space="preserve"> </w:t>
      </w:r>
      <w:r w:rsidR="00B344EE">
        <w:rPr>
          <w:rFonts w:ascii="Arial" w:hAnsi="Arial" w:cs="Arial"/>
          <w:noProof/>
          <w:sz w:val="24"/>
        </w:rPr>
        <w:t xml:space="preserve">OTA </w:t>
      </w:r>
      <w:r w:rsidR="004E1FEA">
        <w:rPr>
          <w:rFonts w:ascii="Arial" w:hAnsi="Arial" w:cs="Arial"/>
          <w:noProof/>
          <w:sz w:val="24"/>
        </w:rPr>
        <w:t>Testing with Partial Radiated Surfaces</w:t>
      </w:r>
    </w:p>
    <w:p w14:paraId="744362A3" w14:textId="77777777" w:rsidR="00BA1DF9" w:rsidRDefault="00BA1DF9" w:rsidP="00BA1DF9">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55C41CA3" w14:textId="77777777" w:rsidR="00BA1DF9" w:rsidRDefault="00BA1DF9" w:rsidP="00BA1DF9">
      <w:pPr>
        <w:pStyle w:val="Heading1"/>
        <w:rPr>
          <w:noProof/>
        </w:rPr>
      </w:pPr>
      <w:r>
        <w:rPr>
          <w:noProof/>
        </w:rPr>
        <w:t>Introduction</w:t>
      </w:r>
    </w:p>
    <w:p w14:paraId="0EABF0A9" w14:textId="7E2E2539" w:rsidR="00BA1DF9" w:rsidRDefault="00BA1DF9" w:rsidP="00BA1DF9">
      <w:pPr>
        <w:rPr>
          <w:noProof/>
        </w:rPr>
      </w:pPr>
      <w:r>
        <w:rPr>
          <w:noProof/>
        </w:rPr>
        <w:t>This contribution</w:t>
      </w:r>
      <w:r w:rsidR="0095243B">
        <w:rPr>
          <w:noProof/>
        </w:rPr>
        <w:t xml:space="preserve"> is a continuation of </w:t>
      </w:r>
      <w:r w:rsidR="0095243B">
        <w:rPr>
          <w:noProof/>
        </w:rPr>
        <w:fldChar w:fldCharType="begin"/>
      </w:r>
      <w:r w:rsidR="0095243B">
        <w:rPr>
          <w:noProof/>
        </w:rPr>
        <w:instrText xml:space="preserve"> REF _Ref200009631 \w </w:instrText>
      </w:r>
      <w:r w:rsidR="0095243B">
        <w:rPr>
          <w:noProof/>
        </w:rPr>
        <w:fldChar w:fldCharType="separate"/>
      </w:r>
      <w:r w:rsidR="002E4EA1">
        <w:rPr>
          <w:noProof/>
        </w:rPr>
        <w:t>[1]</w:t>
      </w:r>
      <w:r w:rsidR="0095243B">
        <w:rPr>
          <w:noProof/>
        </w:rPr>
        <w:fldChar w:fldCharType="end"/>
      </w:r>
      <w:r w:rsidR="0095243B">
        <w:rPr>
          <w:noProof/>
        </w:rPr>
        <w:t xml:space="preserve"> regarding partial radiated surfaces </w:t>
      </w:r>
      <w:r w:rsidR="00AC7514">
        <w:rPr>
          <w:noProof/>
        </w:rPr>
        <w:t xml:space="preserve">applied to XR OTA testing </w:t>
      </w:r>
      <w:r w:rsidR="0095243B">
        <w:rPr>
          <w:noProof/>
        </w:rPr>
        <w:t xml:space="preserve">while taking agreements from the last meeting </w:t>
      </w:r>
      <w:r w:rsidR="0095243B">
        <w:rPr>
          <w:noProof/>
        </w:rPr>
        <w:fldChar w:fldCharType="begin"/>
      </w:r>
      <w:r w:rsidR="0095243B">
        <w:rPr>
          <w:noProof/>
        </w:rPr>
        <w:instrText xml:space="preserve"> REF _Ref200009620 \w </w:instrText>
      </w:r>
      <w:r w:rsidR="0095243B">
        <w:rPr>
          <w:noProof/>
        </w:rPr>
        <w:fldChar w:fldCharType="separate"/>
      </w:r>
      <w:r w:rsidR="002E4EA1">
        <w:rPr>
          <w:noProof/>
        </w:rPr>
        <w:t>[2]</w:t>
      </w:r>
      <w:r w:rsidR="0095243B">
        <w:rPr>
          <w:noProof/>
        </w:rPr>
        <w:fldChar w:fldCharType="end"/>
      </w:r>
      <w:r w:rsidR="0095243B">
        <w:rPr>
          <w:noProof/>
        </w:rPr>
        <w:t xml:space="preserve"> into account. </w:t>
      </w:r>
    </w:p>
    <w:p w14:paraId="72872EE6" w14:textId="77777777" w:rsidR="00BA1DF9" w:rsidRDefault="00BA1DF9" w:rsidP="00BA1DF9">
      <w:pPr>
        <w:pStyle w:val="Heading1"/>
        <w:rPr>
          <w:noProof/>
        </w:rPr>
      </w:pPr>
      <w:r>
        <w:rPr>
          <w:noProof/>
        </w:rPr>
        <w:t>Discussion</w:t>
      </w:r>
    </w:p>
    <w:p w14:paraId="4B335EC1" w14:textId="02364CEB" w:rsidR="004A16E8" w:rsidRDefault="004A16E8" w:rsidP="00BA1DF9">
      <w:pPr>
        <w:rPr>
          <w:noProof/>
        </w:rPr>
      </w:pPr>
      <w:r>
        <w:rPr>
          <w:noProof/>
        </w:rPr>
        <w:t xml:space="preserve">In RAN4#115, </w:t>
      </w:r>
      <w:r w:rsidR="00563DCF">
        <w:rPr>
          <w:noProof/>
        </w:rPr>
        <w:t xml:space="preserve">a number of </w:t>
      </w:r>
      <w:r w:rsidR="00504ACB">
        <w:rPr>
          <w:noProof/>
        </w:rPr>
        <w:t xml:space="preserve">operators </w:t>
      </w:r>
      <w:r w:rsidR="00563DCF">
        <w:rPr>
          <w:noProof/>
        </w:rPr>
        <w:t xml:space="preserve">suggested </w:t>
      </w:r>
      <w:r w:rsidR="003C09B5">
        <w:rPr>
          <w:noProof/>
        </w:rPr>
        <w:t xml:space="preserve">new </w:t>
      </w:r>
      <w:r w:rsidR="001632A5">
        <w:rPr>
          <w:noProof/>
        </w:rPr>
        <w:t xml:space="preserve">measurement </w:t>
      </w:r>
      <w:r w:rsidR="003C09B5">
        <w:rPr>
          <w:noProof/>
        </w:rPr>
        <w:t>approaches/techniques</w:t>
      </w:r>
      <w:r w:rsidR="00885971">
        <w:rPr>
          <w:noProof/>
        </w:rPr>
        <w:t xml:space="preserve"> </w:t>
      </w:r>
      <w:r w:rsidR="00885971">
        <w:rPr>
          <w:noProof/>
        </w:rPr>
        <w:fldChar w:fldCharType="begin"/>
      </w:r>
      <w:r w:rsidR="00885971">
        <w:rPr>
          <w:noProof/>
        </w:rPr>
        <w:instrText xml:space="preserve"> REF _Ref202197213 \w </w:instrText>
      </w:r>
      <w:r w:rsidR="00885971">
        <w:rPr>
          <w:noProof/>
        </w:rPr>
        <w:fldChar w:fldCharType="separate"/>
      </w:r>
      <w:r w:rsidR="002E4EA1">
        <w:rPr>
          <w:noProof/>
        </w:rPr>
        <w:t>[3]</w:t>
      </w:r>
      <w:r w:rsidR="00885971">
        <w:rPr>
          <w:noProof/>
        </w:rPr>
        <w:fldChar w:fldCharType="end"/>
      </w:r>
      <w:r w:rsidR="00885971">
        <w:rPr>
          <w:noProof/>
        </w:rPr>
        <w:t>. These and others, discussed during the last meeting, e.g., near horizon</w:t>
      </w:r>
      <w:r w:rsidR="00064661">
        <w:rPr>
          <w:noProof/>
        </w:rPr>
        <w:t xml:space="preserve"> metrics, </w:t>
      </w:r>
      <w:r w:rsidR="00064661">
        <w:rPr>
          <w:noProof/>
        </w:rPr>
        <w:fldChar w:fldCharType="begin"/>
      </w:r>
      <w:r w:rsidR="00064661">
        <w:rPr>
          <w:noProof/>
        </w:rPr>
        <w:instrText xml:space="preserve"> REF _Ref200009620 \w </w:instrText>
      </w:r>
      <w:r w:rsidR="00064661">
        <w:rPr>
          <w:noProof/>
        </w:rPr>
        <w:fldChar w:fldCharType="separate"/>
      </w:r>
      <w:r w:rsidR="002E4EA1">
        <w:rPr>
          <w:noProof/>
        </w:rPr>
        <w:t>[2]</w:t>
      </w:r>
      <w:r w:rsidR="00064661">
        <w:rPr>
          <w:noProof/>
        </w:rPr>
        <w:fldChar w:fldCharType="end"/>
      </w:r>
      <w:r w:rsidR="00A17C78">
        <w:rPr>
          <w:noProof/>
        </w:rPr>
        <w:t xml:space="preserve"> </w:t>
      </w:r>
    </w:p>
    <w:tbl>
      <w:tblPr>
        <w:tblStyle w:val="TableGrid"/>
        <w:tblW w:w="0" w:type="auto"/>
        <w:tblLook w:val="04A0" w:firstRow="1" w:lastRow="0" w:firstColumn="1" w:lastColumn="0" w:noHBand="0" w:noVBand="1"/>
      </w:tblPr>
      <w:tblGrid>
        <w:gridCol w:w="9629"/>
      </w:tblGrid>
      <w:tr w:rsidR="00A17C78" w14:paraId="33D6305D" w14:textId="77777777" w:rsidTr="00A17C78">
        <w:tc>
          <w:tcPr>
            <w:tcW w:w="9629" w:type="dxa"/>
          </w:tcPr>
          <w:p w14:paraId="236F8565" w14:textId="77777777" w:rsidR="00F07E67" w:rsidRPr="00CB2117" w:rsidRDefault="00F07E67" w:rsidP="00F07E67">
            <w:pPr>
              <w:rPr>
                <w:b/>
                <w:u w:val="single"/>
                <w:lang w:eastAsia="ko-KR"/>
              </w:rPr>
            </w:pPr>
            <w:r w:rsidRPr="00CB2117">
              <w:rPr>
                <w:b/>
                <w:u w:val="single"/>
                <w:lang w:eastAsia="ko-KR"/>
              </w:rPr>
              <w:t xml:space="preserve">Issue </w:t>
            </w:r>
            <w:r w:rsidRPr="00CB2117">
              <w:rPr>
                <w:rFonts w:hint="eastAsia"/>
                <w:b/>
                <w:u w:val="single"/>
                <w:lang w:eastAsia="zh-CN"/>
              </w:rPr>
              <w:t>1</w:t>
            </w:r>
            <w:r w:rsidRPr="00CB2117">
              <w:rPr>
                <w:b/>
                <w:u w:val="single"/>
                <w:lang w:eastAsia="ko-KR"/>
              </w:rPr>
              <w:t>-</w:t>
            </w:r>
            <w:r w:rsidRPr="00CB2117">
              <w:rPr>
                <w:rFonts w:hint="eastAsia"/>
                <w:b/>
                <w:u w:val="single"/>
                <w:lang w:eastAsia="zh-CN"/>
              </w:rPr>
              <w:t>2</w:t>
            </w:r>
            <w:r w:rsidRPr="00CB2117">
              <w:rPr>
                <w:b/>
                <w:u w:val="single"/>
                <w:lang w:eastAsia="ko-KR"/>
              </w:rPr>
              <w:t>-</w:t>
            </w:r>
            <w:r w:rsidRPr="00CB2117">
              <w:rPr>
                <w:rFonts w:hint="eastAsia"/>
                <w:b/>
                <w:u w:val="single"/>
                <w:lang w:eastAsia="zh-CN"/>
              </w:rPr>
              <w:t>3</w:t>
            </w:r>
            <w:r w:rsidRPr="00CB2117">
              <w:rPr>
                <w:b/>
                <w:u w:val="single"/>
                <w:lang w:eastAsia="ko-KR"/>
              </w:rPr>
              <w:t xml:space="preserve">: </w:t>
            </w:r>
            <w:r w:rsidRPr="00CB2117">
              <w:rPr>
                <w:rFonts w:hint="eastAsia"/>
                <w:b/>
                <w:u w:val="single"/>
                <w:lang w:eastAsia="zh-CN"/>
              </w:rPr>
              <w:t xml:space="preserve">New performance metric for XR devices </w:t>
            </w:r>
            <w:r w:rsidRPr="00CB2117">
              <w:rPr>
                <w:b/>
                <w:u w:val="single"/>
                <w:lang w:eastAsia="ko-KR"/>
              </w:rPr>
              <w:t xml:space="preserve"> </w:t>
            </w:r>
          </w:p>
          <w:p w14:paraId="085D30C3" w14:textId="77777777" w:rsidR="00F07E67" w:rsidRPr="002E783A" w:rsidRDefault="00F07E67" w:rsidP="00F07E67">
            <w:pPr>
              <w:rPr>
                <w:b/>
                <w:bCs/>
                <w:i/>
                <w:lang w:eastAsia="zh-CN"/>
              </w:rPr>
            </w:pPr>
            <w:r w:rsidRPr="002E783A">
              <w:rPr>
                <w:b/>
                <w:bCs/>
                <w:i/>
                <w:lang w:eastAsia="zh-CN"/>
              </w:rPr>
              <w:t>A</w:t>
            </w:r>
            <w:r w:rsidRPr="002E783A">
              <w:rPr>
                <w:rFonts w:hint="eastAsia"/>
                <w:b/>
                <w:bCs/>
                <w:i/>
                <w:lang w:eastAsia="zh-CN"/>
              </w:rPr>
              <w:t>greements:</w:t>
            </w:r>
          </w:p>
          <w:p w14:paraId="7A245DBC" w14:textId="77777777" w:rsidR="00F07E67" w:rsidRPr="00CB2117" w:rsidRDefault="00F07E67" w:rsidP="00F07E67">
            <w:pPr>
              <w:rPr>
                <w:i/>
                <w:lang w:eastAsia="zh-CN"/>
              </w:rPr>
            </w:pPr>
            <w:r w:rsidRPr="00CB2117">
              <w:rPr>
                <w:rFonts w:hint="eastAsia"/>
                <w:i/>
                <w:lang w:eastAsia="zh-CN"/>
              </w:rPr>
              <w:t xml:space="preserve">RAN4 further study new metric and </w:t>
            </w:r>
            <w:r w:rsidRPr="00CB2117">
              <w:rPr>
                <w:i/>
                <w:lang w:eastAsia="zh-CN"/>
              </w:rPr>
              <w:t>corresponding</w:t>
            </w:r>
            <w:r w:rsidRPr="00CB2117">
              <w:rPr>
                <w:rFonts w:hint="eastAsia"/>
                <w:i/>
                <w:lang w:eastAsia="zh-CN"/>
              </w:rPr>
              <w:t xml:space="preserve"> test procedure/data processing for XR devices, </w:t>
            </w:r>
            <w:proofErr w:type="gramStart"/>
            <w:r w:rsidRPr="00CB2117">
              <w:rPr>
                <w:rFonts w:hint="eastAsia"/>
                <w:i/>
                <w:lang w:eastAsia="zh-CN"/>
              </w:rPr>
              <w:t>e.g.,.</w:t>
            </w:r>
            <w:proofErr w:type="gramEnd"/>
            <w:r w:rsidRPr="00CB2117">
              <w:rPr>
                <w:rFonts w:hint="eastAsia"/>
                <w:i/>
                <w:lang w:eastAsia="zh-CN"/>
              </w:rPr>
              <w:t xml:space="preserve"> </w:t>
            </w:r>
          </w:p>
          <w:p w14:paraId="602CFEA4" w14:textId="77777777" w:rsidR="00F07E67" w:rsidRPr="00CB2117" w:rsidRDefault="00F07E67" w:rsidP="00F07E67">
            <w:pPr>
              <w:ind w:left="284"/>
              <w:rPr>
                <w:i/>
                <w:lang w:eastAsia="zh-CN"/>
              </w:rPr>
            </w:pPr>
            <w:r w:rsidRPr="00CB2117">
              <w:rPr>
                <w:rFonts w:ascii="Cambria Math" w:hAnsi="Cambria Math" w:cs="Cambria Math"/>
                <w:i/>
                <w:lang w:eastAsia="zh-CN"/>
              </w:rPr>
              <w:t>⦁</w:t>
            </w:r>
            <w:r w:rsidRPr="00CB2117">
              <w:rPr>
                <w:i/>
                <w:lang w:eastAsia="zh-CN"/>
              </w:rPr>
              <w:tab/>
              <w:t>Weighted TRP &amp; TRS</w:t>
            </w:r>
          </w:p>
          <w:p w14:paraId="3931B178" w14:textId="77777777" w:rsidR="00F07E67" w:rsidRPr="00CB2117" w:rsidRDefault="00F07E67" w:rsidP="00F07E67">
            <w:pPr>
              <w:ind w:left="284"/>
              <w:rPr>
                <w:i/>
                <w:lang w:eastAsia="zh-CN"/>
              </w:rPr>
            </w:pPr>
            <w:r w:rsidRPr="00CB2117">
              <w:rPr>
                <w:rFonts w:ascii="Cambria Math" w:hAnsi="Cambria Math" w:cs="Cambria Math"/>
                <w:i/>
                <w:lang w:eastAsia="zh-CN"/>
              </w:rPr>
              <w:t>⦁</w:t>
            </w:r>
            <w:r w:rsidRPr="00CB2117">
              <w:rPr>
                <w:i/>
                <w:lang w:eastAsia="zh-CN"/>
              </w:rPr>
              <w:tab/>
              <w:t xml:space="preserve">Near horizontal part radiated power (NHPRP) and </w:t>
            </w:r>
            <w:proofErr w:type="gramStart"/>
            <w:r w:rsidRPr="00CB2117">
              <w:rPr>
                <w:i/>
                <w:lang w:eastAsia="zh-CN"/>
              </w:rPr>
              <w:t>Near</w:t>
            </w:r>
            <w:proofErr w:type="gramEnd"/>
            <w:r w:rsidRPr="00CB2117">
              <w:rPr>
                <w:i/>
                <w:lang w:eastAsia="zh-CN"/>
              </w:rPr>
              <w:t xml:space="preserve"> horizontal part Isotropic Sensitivity (NHPIS)</w:t>
            </w:r>
          </w:p>
          <w:p w14:paraId="427224E8" w14:textId="77777777" w:rsidR="00F07E67" w:rsidRPr="00297694" w:rsidRDefault="00F07E67" w:rsidP="00F07E67">
            <w:pPr>
              <w:ind w:left="284"/>
              <w:rPr>
                <w:rFonts w:ascii="Cambria Math" w:hAnsi="Cambria Math" w:cs="Cambria Math"/>
                <w:i/>
                <w:lang w:eastAsia="zh-CN"/>
              </w:rPr>
            </w:pPr>
            <w:r w:rsidRPr="00CB2117">
              <w:rPr>
                <w:rFonts w:ascii="Cambria Math" w:hAnsi="Cambria Math" w:cs="Cambria Math"/>
                <w:i/>
                <w:lang w:eastAsia="zh-CN"/>
              </w:rPr>
              <w:t>⦁</w:t>
            </w:r>
            <w:r w:rsidRPr="00CB2117">
              <w:rPr>
                <w:i/>
                <w:lang w:eastAsia="zh-CN"/>
              </w:rPr>
              <w:tab/>
            </w:r>
            <w:r w:rsidRPr="00297694">
              <w:rPr>
                <w:rFonts w:ascii="Cambria Math" w:hAnsi="Cambria Math" w:cs="Cambria Math"/>
                <w:i/>
                <w:lang w:eastAsia="zh-CN"/>
              </w:rPr>
              <w:t xml:space="preserve">Others </w:t>
            </w:r>
          </w:p>
          <w:p w14:paraId="6BABAB44" w14:textId="01EBBBBE" w:rsidR="002F2F45" w:rsidRPr="00504ACB" w:rsidRDefault="00F07E67" w:rsidP="00504ACB">
            <w:pPr>
              <w:rPr>
                <w:i/>
                <w:lang w:eastAsia="zh-CN"/>
              </w:rPr>
            </w:pPr>
            <w:r w:rsidRPr="00CB2117">
              <w:rPr>
                <w:rFonts w:hint="eastAsia"/>
                <w:i/>
                <w:lang w:eastAsia="zh-CN"/>
              </w:rPr>
              <w:t>If no consensus reached, the WI can also be closed with agreed TRP/TRS metric for XR devices.</w:t>
            </w:r>
          </w:p>
        </w:tc>
      </w:tr>
    </w:tbl>
    <w:p w14:paraId="7F57F9CD" w14:textId="77777777" w:rsidR="00596D5D" w:rsidRDefault="00064661" w:rsidP="00BA1DF9">
      <w:pPr>
        <w:rPr>
          <w:noProof/>
        </w:rPr>
      </w:pPr>
      <w:r>
        <w:rPr>
          <w:noProof/>
        </w:rPr>
        <w:t xml:space="preserve">are </w:t>
      </w:r>
      <w:r w:rsidR="00596D5D">
        <w:rPr>
          <w:noProof/>
        </w:rPr>
        <w:t xml:space="preserve">further reviewed here. </w:t>
      </w:r>
    </w:p>
    <w:p w14:paraId="2D069A2F" w14:textId="1D099BCA" w:rsidR="00596D5D" w:rsidRDefault="00596D5D" w:rsidP="00BA1DF9">
      <w:pPr>
        <w:rPr>
          <w:noProof/>
        </w:rPr>
      </w:pPr>
      <w:r>
        <w:rPr>
          <w:noProof/>
        </w:rPr>
        <w:t xml:space="preserve">The operators suggested </w:t>
      </w:r>
      <w:r w:rsidR="00A9562B">
        <w:rPr>
          <w:noProof/>
        </w:rPr>
        <w:t>a novel</w:t>
      </w:r>
      <w:r w:rsidR="007E1A15">
        <w:rPr>
          <w:noProof/>
        </w:rPr>
        <w:t xml:space="preserve"> approach to define metrics/requirements by defining </w:t>
      </w:r>
      <w:r w:rsidR="002D5C92">
        <w:rPr>
          <w:noProof/>
        </w:rPr>
        <w:t>“</w:t>
      </w:r>
      <w:r w:rsidR="007E1A15">
        <w:rPr>
          <w:noProof/>
        </w:rPr>
        <w:t>high-prio</w:t>
      </w:r>
      <w:r w:rsidR="00D8358B">
        <w:rPr>
          <w:noProof/>
        </w:rPr>
        <w:t>rity directions</w:t>
      </w:r>
      <w:r w:rsidR="002D5C92">
        <w:rPr>
          <w:noProof/>
        </w:rPr>
        <w:t>”</w:t>
      </w:r>
      <w:r w:rsidR="00D8358B">
        <w:rPr>
          <w:noProof/>
        </w:rPr>
        <w:t xml:space="preserve"> and “low</w:t>
      </w:r>
      <w:r w:rsidR="002D5C92">
        <w:rPr>
          <w:noProof/>
        </w:rPr>
        <w:t xml:space="preserve">-priority directions” for XR OTA testing </w:t>
      </w:r>
      <w:r w:rsidR="00F132D2">
        <w:rPr>
          <w:noProof/>
        </w:rPr>
        <w:fldChar w:fldCharType="begin"/>
      </w:r>
      <w:r w:rsidR="00F132D2">
        <w:rPr>
          <w:noProof/>
        </w:rPr>
        <w:instrText xml:space="preserve"> REF _Ref202197213 \w </w:instrText>
      </w:r>
      <w:r w:rsidR="00F132D2">
        <w:rPr>
          <w:noProof/>
        </w:rPr>
        <w:fldChar w:fldCharType="separate"/>
      </w:r>
      <w:r w:rsidR="002E4EA1">
        <w:rPr>
          <w:noProof/>
        </w:rPr>
        <w:t>[3]</w:t>
      </w:r>
      <w:r w:rsidR="00F132D2">
        <w:rPr>
          <w:noProof/>
        </w:rPr>
        <w:fldChar w:fldCharType="end"/>
      </w:r>
    </w:p>
    <w:tbl>
      <w:tblPr>
        <w:tblStyle w:val="TableGrid"/>
        <w:tblW w:w="0" w:type="auto"/>
        <w:tblLook w:val="04A0" w:firstRow="1" w:lastRow="0" w:firstColumn="1" w:lastColumn="0" w:noHBand="0" w:noVBand="1"/>
      </w:tblPr>
      <w:tblGrid>
        <w:gridCol w:w="9629"/>
      </w:tblGrid>
      <w:tr w:rsidR="00A9562B" w14:paraId="02766987" w14:textId="77777777" w:rsidTr="00A9562B">
        <w:tc>
          <w:tcPr>
            <w:tcW w:w="9629" w:type="dxa"/>
          </w:tcPr>
          <w:p w14:paraId="5E8D6731" w14:textId="77777777" w:rsidR="00A9562B" w:rsidRDefault="00A9562B" w:rsidP="00A9562B">
            <w:pPr>
              <w:rPr>
                <w:i/>
                <w:iCs/>
              </w:rPr>
            </w:pPr>
            <w:r w:rsidRPr="00015816">
              <w:rPr>
                <w:rFonts w:hint="eastAsia"/>
                <w:b/>
                <w:u w:val="single"/>
                <w:lang w:eastAsia="zh-CN"/>
              </w:rPr>
              <w:t>General XR TRP</w:t>
            </w:r>
            <w:r>
              <w:rPr>
                <w:b/>
                <w:u w:val="single"/>
                <w:lang w:eastAsia="zh-CN"/>
              </w:rPr>
              <w:t>/TRS</w:t>
            </w:r>
            <w:r w:rsidRPr="00015816">
              <w:rPr>
                <w:rFonts w:hint="eastAsia"/>
                <w:b/>
                <w:u w:val="single"/>
                <w:lang w:eastAsia="zh-CN"/>
              </w:rPr>
              <w:t xml:space="preserve"> test procedure </w:t>
            </w:r>
            <w:r w:rsidRPr="00015816">
              <w:rPr>
                <w:b/>
                <w:u w:val="single"/>
                <w:lang w:eastAsia="ko-KR"/>
              </w:rPr>
              <w:t xml:space="preserve"> </w:t>
            </w:r>
          </w:p>
          <w:p w14:paraId="71BC9CF0" w14:textId="77777777" w:rsidR="00A9562B" w:rsidRDefault="00A9562B" w:rsidP="00A9562B">
            <w:r w:rsidRPr="009C31E3">
              <w:t xml:space="preserve">The current TRP/TRS minimum requirement approach has been sufficient for many devices, but it presents a significant shortcoming for XR </w:t>
            </w:r>
            <w:proofErr w:type="spellStart"/>
            <w:r w:rsidRPr="009C31E3">
              <w:t>headworn</w:t>
            </w:r>
            <w:proofErr w:type="spellEnd"/>
            <w:r w:rsidRPr="009C31E3">
              <w:t xml:space="preserve"> devices, which are worn with a consistent orientation against the user's body. In such scenarios, even if the overall TRP/TRS meets the required standard, a few low-power measurements (deep nulls) in certain directions may lead to inconsistent coverage. For XR </w:t>
            </w:r>
            <w:proofErr w:type="spellStart"/>
            <w:r w:rsidRPr="009C31E3">
              <w:t>headworn</w:t>
            </w:r>
            <w:proofErr w:type="spellEnd"/>
            <w:r w:rsidRPr="009C31E3">
              <w:t xml:space="preserve"> devices, where performance uniformity is crucial for maintaining seamless connectivity in an immersive experience, such nulls can lead to user dissatisfaction and degraded performance and coverage.</w:t>
            </w:r>
          </w:p>
          <w:p w14:paraId="6BDD90BB" w14:textId="77777777" w:rsidR="00A9562B" w:rsidRPr="005A1A2F" w:rsidRDefault="00A9562B" w:rsidP="00A9562B">
            <w:r w:rsidRPr="005A1A2F">
              <w:t xml:space="preserve">These issues underscore the need for a more granular analysis approach that does not allow the averaging process to obscure significant performance deficiencies. The fixed orientation of XR </w:t>
            </w:r>
            <w:proofErr w:type="spellStart"/>
            <w:r w:rsidRPr="005A5D42">
              <w:rPr>
                <w:lang w:val="en-US"/>
              </w:rPr>
              <w:t>headworn</w:t>
            </w:r>
            <w:proofErr w:type="spellEnd"/>
            <w:r w:rsidRPr="005A1A2F">
              <w:t xml:space="preserve"> makes them particularly vulnerable to the effects of deep nulls, and with the reduced RX antennas, it is imperative that evaluation and minimum requirement methods evolve accordingly. At the same time, the fixed orientation can be exploited to optimize antenna designs to prioritize certain directions and deprioritize others.</w:t>
            </w:r>
          </w:p>
          <w:p w14:paraId="2E06455A" w14:textId="77777777" w:rsidR="00A9562B" w:rsidRDefault="00A9562B" w:rsidP="00A9562B">
            <w:pPr>
              <w:rPr>
                <w:i/>
                <w:iCs/>
              </w:rPr>
            </w:pPr>
            <w:r w:rsidRPr="00577757">
              <w:rPr>
                <w:b/>
                <w:bCs/>
                <w:i/>
                <w:iCs/>
              </w:rPr>
              <w:t>Proposal 1</w:t>
            </w:r>
            <w:r w:rsidRPr="00577757">
              <w:rPr>
                <w:i/>
                <w:iCs/>
              </w:rPr>
              <w:t xml:space="preserve">: </w:t>
            </w:r>
            <w:r>
              <w:rPr>
                <w:i/>
                <w:iCs/>
              </w:rPr>
              <w:t xml:space="preserve">Introduce </w:t>
            </w:r>
            <w:r w:rsidRPr="00802234">
              <w:rPr>
                <w:i/>
                <w:iCs/>
              </w:rPr>
              <w:t xml:space="preserve">high priority and low priority directions for XR </w:t>
            </w:r>
            <w:proofErr w:type="spellStart"/>
            <w:r w:rsidRPr="00802234">
              <w:rPr>
                <w:i/>
                <w:iCs/>
              </w:rPr>
              <w:t>headworn</w:t>
            </w:r>
            <w:proofErr w:type="spellEnd"/>
            <w:r w:rsidRPr="00802234">
              <w:rPr>
                <w:i/>
                <w:iCs/>
              </w:rPr>
              <w:t xml:space="preserve"> TRP/TRS minimum requirements, each with its own minimum TRP/TRS values. Relaxed minimum requirements are expected for low priority directions, while higher minimum requirements are expected for high priority directions. The determination of the range for both directions </w:t>
            </w:r>
            <w:r>
              <w:rPr>
                <w:i/>
                <w:iCs/>
              </w:rPr>
              <w:t>can be discussed</w:t>
            </w:r>
            <w:r w:rsidRPr="00802234">
              <w:rPr>
                <w:i/>
                <w:iCs/>
              </w:rPr>
              <w:t>.</w:t>
            </w:r>
          </w:p>
          <w:p w14:paraId="419F6B6E" w14:textId="77777777" w:rsidR="00A9562B" w:rsidRDefault="00A9562B" w:rsidP="00A9562B">
            <w:pPr>
              <w:rPr>
                <w:i/>
                <w:iCs/>
              </w:rPr>
            </w:pPr>
            <w:r w:rsidRPr="00577757">
              <w:rPr>
                <w:b/>
                <w:bCs/>
                <w:i/>
                <w:iCs/>
              </w:rPr>
              <w:lastRenderedPageBreak/>
              <w:t xml:space="preserve">Proposal </w:t>
            </w:r>
            <w:r>
              <w:rPr>
                <w:b/>
                <w:bCs/>
                <w:i/>
                <w:iCs/>
              </w:rPr>
              <w:t>2</w:t>
            </w:r>
            <w:r w:rsidRPr="00577757">
              <w:rPr>
                <w:i/>
                <w:iCs/>
              </w:rPr>
              <w:t xml:space="preserve">: </w:t>
            </w:r>
            <w:r>
              <w:rPr>
                <w:i/>
                <w:iCs/>
              </w:rPr>
              <w:t xml:space="preserve">Introduce </w:t>
            </w:r>
            <w:r w:rsidRPr="00B92B6B">
              <w:rPr>
                <w:i/>
                <w:iCs/>
              </w:rPr>
              <w:t xml:space="preserve">a new metric for XR </w:t>
            </w:r>
            <w:proofErr w:type="spellStart"/>
            <w:r w:rsidRPr="00B92B6B">
              <w:rPr>
                <w:i/>
                <w:iCs/>
              </w:rPr>
              <w:t>headworn</w:t>
            </w:r>
            <w:proofErr w:type="spellEnd"/>
            <w:r w:rsidRPr="00B92B6B">
              <w:rPr>
                <w:i/>
                <w:iCs/>
              </w:rPr>
              <w:t xml:space="preserve"> devices as an additional minimum requirement for high priority directions. This metric could be implemented without altering the current measurement procedure or requiring additional equipment, ensuring seamless integration into existing testing frameworks</w:t>
            </w:r>
            <w:r>
              <w:rPr>
                <w:i/>
                <w:iCs/>
              </w:rPr>
              <w:t>.</w:t>
            </w:r>
          </w:p>
          <w:p w14:paraId="1BE93DB8" w14:textId="77777777" w:rsidR="00A9562B" w:rsidRDefault="00A9562B" w:rsidP="00A9562B">
            <w:pPr>
              <w:rPr>
                <w:i/>
                <w:iCs/>
              </w:rPr>
            </w:pPr>
            <w:r w:rsidRPr="00577757">
              <w:rPr>
                <w:b/>
                <w:bCs/>
                <w:i/>
                <w:iCs/>
              </w:rPr>
              <w:t xml:space="preserve">Proposal </w:t>
            </w:r>
            <w:r>
              <w:rPr>
                <w:b/>
                <w:bCs/>
                <w:i/>
                <w:iCs/>
              </w:rPr>
              <w:t>3</w:t>
            </w:r>
            <w:r w:rsidRPr="00577757">
              <w:rPr>
                <w:i/>
                <w:iCs/>
              </w:rPr>
              <w:t xml:space="preserve">: </w:t>
            </w:r>
            <w:r>
              <w:rPr>
                <w:i/>
                <w:iCs/>
              </w:rPr>
              <w:t xml:space="preserve">The following are the key elements for introducing a new metric for XR </w:t>
            </w:r>
            <w:bookmarkStart w:id="0" w:name="_Hlk196991556"/>
            <w:proofErr w:type="spellStart"/>
            <w:r w:rsidRPr="00511717">
              <w:rPr>
                <w:i/>
                <w:iCs/>
                <w:lang w:val="en-US"/>
              </w:rPr>
              <w:t>headworn</w:t>
            </w:r>
            <w:bookmarkEnd w:id="0"/>
            <w:proofErr w:type="spellEnd"/>
            <w:r>
              <w:rPr>
                <w:i/>
                <w:iCs/>
              </w:rPr>
              <w:t>:</w:t>
            </w:r>
          </w:p>
          <w:p w14:paraId="5DF17EC1" w14:textId="77777777" w:rsidR="00A9562B" w:rsidRDefault="00A9562B" w:rsidP="00A9562B">
            <w:pPr>
              <w:pStyle w:val="ListParagraph"/>
              <w:numPr>
                <w:ilvl w:val="0"/>
                <w:numId w:val="6"/>
              </w:numPr>
              <w:ind w:left="709"/>
              <w:rPr>
                <w:i/>
                <w:iCs/>
              </w:rPr>
            </w:pPr>
            <w:r w:rsidRPr="00D519DF">
              <w:rPr>
                <w:b/>
                <w:bCs/>
                <w:i/>
                <w:iCs/>
              </w:rPr>
              <w:t>Measurement Procedures:</w:t>
            </w:r>
            <w:r>
              <w:rPr>
                <w:b/>
                <w:bCs/>
                <w:i/>
                <w:iCs/>
              </w:rPr>
              <w:t xml:space="preserve"> </w:t>
            </w:r>
            <w:r w:rsidRPr="00D519DF">
              <w:rPr>
                <w:i/>
                <w:iCs/>
              </w:rPr>
              <w:t>The standard method for TRP measurement</w:t>
            </w:r>
            <w:r>
              <w:rPr>
                <w:i/>
                <w:iCs/>
              </w:rPr>
              <w:t xml:space="preserve"> </w:t>
            </w:r>
            <w:r w:rsidRPr="00D519DF">
              <w:rPr>
                <w:i/>
                <w:iCs/>
              </w:rPr>
              <w:t>could remain unchanged.</w:t>
            </w:r>
            <w:r>
              <w:rPr>
                <w:i/>
                <w:iCs/>
              </w:rPr>
              <w:t xml:space="preserve"> </w:t>
            </w:r>
            <w:proofErr w:type="gramStart"/>
            <w:r w:rsidRPr="00BF3C22">
              <w:rPr>
                <w:i/>
                <w:iCs/>
              </w:rPr>
              <w:t>Effective Isotropic Radiated Power (EIRP) and Effective Isotropic Sensitivity (EIS),</w:t>
            </w:r>
            <w:proofErr w:type="gramEnd"/>
            <w:r w:rsidRPr="00BF3C22">
              <w:rPr>
                <w:i/>
                <w:iCs/>
              </w:rPr>
              <w:t xml:space="preserve"> are measured</w:t>
            </w:r>
            <w:r>
              <w:rPr>
                <w:i/>
                <w:iCs/>
              </w:rPr>
              <w:t xml:space="preserve"> </w:t>
            </w:r>
            <w:r w:rsidRPr="00BF3C22">
              <w:rPr>
                <w:i/>
                <w:iCs/>
              </w:rPr>
              <w:t>and saved for each angle/position</w:t>
            </w:r>
            <w:r>
              <w:rPr>
                <w:i/>
                <w:iCs/>
              </w:rPr>
              <w:t xml:space="preserve">. </w:t>
            </w:r>
            <w:r>
              <w:rPr>
                <w:i/>
                <w:iCs/>
              </w:rPr>
              <w:br/>
            </w:r>
          </w:p>
          <w:p w14:paraId="149893D3" w14:textId="77777777" w:rsidR="00A9562B" w:rsidRPr="009C4180" w:rsidRDefault="00A9562B" w:rsidP="00A9562B">
            <w:pPr>
              <w:pStyle w:val="ListParagraph"/>
              <w:numPr>
                <w:ilvl w:val="0"/>
                <w:numId w:val="6"/>
              </w:numPr>
              <w:rPr>
                <w:i/>
                <w:iCs/>
              </w:rPr>
            </w:pPr>
            <w:r w:rsidRPr="009C4180">
              <w:rPr>
                <w:b/>
                <w:bCs/>
                <w:i/>
                <w:iCs/>
              </w:rPr>
              <w:t>Introducing a Post-Measurement Threshold Analysis</w:t>
            </w:r>
            <w:r w:rsidRPr="009C4180">
              <w:rPr>
                <w:i/>
                <w:iCs/>
              </w:rPr>
              <w:t>: Once the data is collected, each individual measurement point is compared against threshold values of EIRP and EIS. Determining the exact threshold values will be FFS. Every measurement point must meet or exceed the agreed-upon threshold (above min EIRP and EIS threshold values).</w:t>
            </w:r>
            <w:r w:rsidRPr="009C4180">
              <w:rPr>
                <w:i/>
                <w:iCs/>
              </w:rPr>
              <w:br/>
            </w:r>
          </w:p>
          <w:p w14:paraId="3C6BB3BC" w14:textId="77777777" w:rsidR="00A9562B" w:rsidRDefault="00A9562B" w:rsidP="00A9562B">
            <w:pPr>
              <w:rPr>
                <w:b/>
                <w:bCs/>
                <w:u w:val="single"/>
              </w:rPr>
            </w:pPr>
            <w:r w:rsidRPr="005160F9">
              <w:rPr>
                <w:rFonts w:hint="eastAsia"/>
                <w:b/>
                <w:bCs/>
                <w:u w:val="single"/>
              </w:rPr>
              <w:t>Alternative test solutions</w:t>
            </w:r>
          </w:p>
          <w:p w14:paraId="0ADB01FA" w14:textId="77777777" w:rsidR="00A9562B" w:rsidRDefault="00A9562B" w:rsidP="00A9562B">
            <w:r w:rsidRPr="003E1744">
              <w:t>One of the challenges for XR</w:t>
            </w:r>
            <w:r>
              <w:t xml:space="preserve"> </w:t>
            </w:r>
            <w:proofErr w:type="spellStart"/>
            <w:r>
              <w:t>headworn</w:t>
            </w:r>
            <w:proofErr w:type="spellEnd"/>
            <w:r w:rsidRPr="003E1744">
              <w:t xml:space="preserve"> devices during OTA testing is their lower battery life compared to handheld devices. Increasing the grid size for TRP and TRS testing can help reduce the measurement time.</w:t>
            </w:r>
            <w:r>
              <w:tab/>
              <w:t xml:space="preserve"> </w:t>
            </w:r>
          </w:p>
          <w:p w14:paraId="2FDE6932" w14:textId="0EE77CA9" w:rsidR="00A9562B" w:rsidRDefault="00A9562B" w:rsidP="00A9562B">
            <w:pPr>
              <w:rPr>
                <w:noProof/>
              </w:rPr>
            </w:pPr>
            <w:r w:rsidRPr="00577757">
              <w:rPr>
                <w:b/>
                <w:bCs/>
                <w:i/>
                <w:iCs/>
              </w:rPr>
              <w:t xml:space="preserve">Proposal </w:t>
            </w:r>
            <w:r>
              <w:rPr>
                <w:b/>
                <w:bCs/>
                <w:i/>
                <w:iCs/>
              </w:rPr>
              <w:t>4</w:t>
            </w:r>
            <w:r w:rsidRPr="00577757">
              <w:rPr>
                <w:i/>
                <w:iCs/>
              </w:rPr>
              <w:t xml:space="preserve">: </w:t>
            </w:r>
            <w:r>
              <w:rPr>
                <w:i/>
                <w:iCs/>
              </w:rPr>
              <w:t>Increase the measurement grid size for XR low priority directions.</w:t>
            </w:r>
          </w:p>
        </w:tc>
      </w:tr>
    </w:tbl>
    <w:p w14:paraId="194ADEBC" w14:textId="77777777" w:rsidR="00A9562B" w:rsidRDefault="00A9562B" w:rsidP="00BA1DF9">
      <w:pPr>
        <w:rPr>
          <w:noProof/>
        </w:rPr>
      </w:pPr>
    </w:p>
    <w:p w14:paraId="48485C63" w14:textId="4A80CCD8" w:rsidR="00F132D2" w:rsidRDefault="00600637" w:rsidP="00BA1DF9">
      <w:pPr>
        <w:rPr>
          <w:noProof/>
        </w:rPr>
      </w:pPr>
      <w:r>
        <w:rPr>
          <w:noProof/>
        </w:rPr>
        <w:t>Examples of high-prio</w:t>
      </w:r>
      <w:r w:rsidR="00CD3EFF">
        <w:rPr>
          <w:noProof/>
        </w:rPr>
        <w:t>rity</w:t>
      </w:r>
      <w:r>
        <w:rPr>
          <w:noProof/>
        </w:rPr>
        <w:t xml:space="preserve"> directions are shown in </w:t>
      </w:r>
      <w:r w:rsidR="00671AF1">
        <w:rPr>
          <w:noProof/>
        </w:rPr>
        <w:fldChar w:fldCharType="begin"/>
      </w:r>
      <w:r w:rsidR="00671AF1">
        <w:rPr>
          <w:noProof/>
        </w:rPr>
        <w:instrText xml:space="preserve"> REF _Ref200014135 \h </w:instrText>
      </w:r>
      <w:r w:rsidR="00671AF1">
        <w:rPr>
          <w:noProof/>
        </w:rPr>
      </w:r>
      <w:r w:rsidR="00671AF1">
        <w:rPr>
          <w:noProof/>
        </w:rPr>
        <w:fldChar w:fldCharType="separate"/>
      </w:r>
      <w:r w:rsidR="002E4EA1">
        <w:t xml:space="preserve">Figure </w:t>
      </w:r>
      <w:r w:rsidR="002E4EA1">
        <w:rPr>
          <w:noProof/>
        </w:rPr>
        <w:t>1</w:t>
      </w:r>
      <w:r w:rsidR="00671AF1">
        <w:rPr>
          <w:noProof/>
        </w:rPr>
        <w:fldChar w:fldCharType="end"/>
      </w:r>
      <w:r w:rsidR="00671AF1">
        <w:rPr>
          <w:noProof/>
        </w:rPr>
        <w:t xml:space="preserve"> for two prominent </w:t>
      </w:r>
      <w:r w:rsidR="00CA1D99">
        <w:rPr>
          <w:noProof/>
        </w:rPr>
        <w:t>VR devices in the market</w:t>
      </w:r>
      <w:r w:rsidR="008647D2">
        <w:rPr>
          <w:noProof/>
        </w:rPr>
        <w:t xml:space="preserve">. </w:t>
      </w:r>
      <w:r w:rsidR="00A70D48">
        <w:rPr>
          <w:noProof/>
        </w:rPr>
        <w:t>The most logical approach to de</w:t>
      </w:r>
      <w:r w:rsidR="00CD3EFF">
        <w:rPr>
          <w:noProof/>
        </w:rPr>
        <w:t>fine high-priority directions is to consider conical region</w:t>
      </w:r>
      <w:r w:rsidR="00ED5596">
        <w:rPr>
          <w:noProof/>
        </w:rPr>
        <w:t>s</w:t>
      </w:r>
      <w:r w:rsidR="00CD3EFF">
        <w:rPr>
          <w:noProof/>
        </w:rPr>
        <w:t xml:space="preserve"> </w:t>
      </w:r>
      <w:r w:rsidR="00ED5596">
        <w:rPr>
          <w:noProof/>
        </w:rPr>
        <w:t>originating from potential regions where antenna</w:t>
      </w:r>
      <w:r w:rsidR="0067487D">
        <w:rPr>
          <w:noProof/>
        </w:rPr>
        <w:t xml:space="preserve">s could be integrated in an XR device which are most likely the front as well as the sides of the DUT. </w:t>
      </w:r>
      <w:r w:rsidR="00C07BFE">
        <w:rPr>
          <w:noProof/>
        </w:rPr>
        <w:t>As such, t</w:t>
      </w:r>
      <w:r w:rsidR="008647D2">
        <w:rPr>
          <w:noProof/>
        </w:rPr>
        <w:t xml:space="preserve">he high-priority </w:t>
      </w:r>
      <w:r w:rsidR="00C07BFE">
        <w:rPr>
          <w:noProof/>
        </w:rPr>
        <w:t xml:space="preserve">conical </w:t>
      </w:r>
      <w:r w:rsidR="008647D2">
        <w:rPr>
          <w:noProof/>
        </w:rPr>
        <w:t>directions are shown</w:t>
      </w:r>
      <w:r w:rsidR="00F43CF1">
        <w:rPr>
          <w:noProof/>
        </w:rPr>
        <w:t xml:space="preserve"> with the yellow cones</w:t>
      </w:r>
      <w:r w:rsidR="0044678E">
        <w:rPr>
          <w:noProof/>
        </w:rPr>
        <w:t xml:space="preserve"> towards the sides (with ±</w:t>
      </w:r>
      <w:r w:rsidR="00066F6B">
        <w:rPr>
          <w:noProof/>
        </w:rPr>
        <w:t>30</w:t>
      </w:r>
      <w:r w:rsidR="00F07B2A">
        <w:rPr>
          <w:noProof/>
        </w:rPr>
        <w:t>°</w:t>
      </w:r>
      <w:r w:rsidR="00F16052">
        <w:rPr>
          <w:noProof/>
        </w:rPr>
        <w:t xml:space="preserve"> angular width) and towards the front (with ±60° angular width); the low-prio </w:t>
      </w:r>
      <w:r w:rsidR="002D5B76">
        <w:rPr>
          <w:noProof/>
        </w:rPr>
        <w:t xml:space="preserve">directions are assumed to </w:t>
      </w:r>
      <w:r w:rsidR="0033571B">
        <w:rPr>
          <w:noProof/>
        </w:rPr>
        <w:t xml:space="preserve">be </w:t>
      </w:r>
      <w:r w:rsidR="00402CA2">
        <w:rPr>
          <w:noProof/>
        </w:rPr>
        <w:t xml:space="preserve">outside those cones.  </w:t>
      </w:r>
      <w:r w:rsidR="00DF0EA4">
        <w:rPr>
          <w:noProof/>
        </w:rPr>
        <w:t xml:space="preserve"> </w:t>
      </w:r>
    </w:p>
    <w:p w14:paraId="4B7F48BA" w14:textId="0DE7858C" w:rsidR="00A50A99" w:rsidRDefault="00922C89" w:rsidP="003406ED">
      <w:pPr>
        <w:spacing w:after="0"/>
        <w:jc w:val="center"/>
        <w:rPr>
          <w:noProof/>
        </w:rPr>
      </w:pPr>
      <w:r w:rsidRPr="00922C89">
        <w:rPr>
          <w:noProof/>
        </w:rPr>
        <w:drawing>
          <wp:inline distT="0" distB="0" distL="0" distR="0" wp14:anchorId="7B309B9D" wp14:editId="74B4C9CA">
            <wp:extent cx="2757133" cy="3200400"/>
            <wp:effectExtent l="0" t="0" r="5715" b="0"/>
            <wp:docPr id="318803284" name="Picture 2" descr="A yellow object with a yellow circle and a grey object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03284" name="Picture 2" descr="A yellow object with a yellow circle and a grey object with arrows&#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57133" cy="3200400"/>
                    </a:xfrm>
                    <a:prstGeom prst="rect">
                      <a:avLst/>
                    </a:prstGeom>
                    <a:noFill/>
                    <a:ln>
                      <a:noFill/>
                    </a:ln>
                  </pic:spPr>
                </pic:pic>
              </a:graphicData>
            </a:graphic>
          </wp:inline>
        </w:drawing>
      </w:r>
      <w:r w:rsidR="00276E72">
        <w:rPr>
          <w:noProof/>
        </w:rPr>
        <w:t xml:space="preserve">   </w:t>
      </w:r>
      <w:r w:rsidRPr="00922C89">
        <w:rPr>
          <w:noProof/>
        </w:rPr>
        <w:drawing>
          <wp:inline distT="0" distB="0" distL="0" distR="0" wp14:anchorId="12CEDA84" wp14:editId="43CEEF07">
            <wp:extent cx="2767356" cy="3200400"/>
            <wp:effectExtent l="0" t="0" r="0" b="0"/>
            <wp:docPr id="1361328451" name="Picture 1" descr="A yellow and grey object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28451" name="Picture 1" descr="A yellow and grey object with arrow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7356" cy="3200400"/>
                    </a:xfrm>
                    <a:prstGeom prst="rect">
                      <a:avLst/>
                    </a:prstGeom>
                    <a:noFill/>
                    <a:ln>
                      <a:noFill/>
                    </a:ln>
                  </pic:spPr>
                </pic:pic>
              </a:graphicData>
            </a:graphic>
          </wp:inline>
        </w:drawing>
      </w:r>
    </w:p>
    <w:p w14:paraId="63999661" w14:textId="52A49B31" w:rsidR="00A50A99" w:rsidRDefault="00A50A99" w:rsidP="003406ED">
      <w:pPr>
        <w:pStyle w:val="Quote"/>
        <w:spacing w:before="0" w:after="120"/>
        <w:rPr>
          <w:noProof/>
        </w:rPr>
      </w:pPr>
      <w:bookmarkStart w:id="1" w:name="_Ref200014135"/>
      <w:r>
        <w:t xml:space="preserve">Figure </w:t>
      </w:r>
      <w:r>
        <w:fldChar w:fldCharType="begin"/>
      </w:r>
      <w:r>
        <w:instrText xml:space="preserve"> SEQ Figure \* ARABIC </w:instrText>
      </w:r>
      <w:r>
        <w:fldChar w:fldCharType="separate"/>
      </w:r>
      <w:r w:rsidR="002E4EA1">
        <w:rPr>
          <w:noProof/>
        </w:rPr>
        <w:t>1</w:t>
      </w:r>
      <w:r>
        <w:fldChar w:fldCharType="end"/>
      </w:r>
      <w:bookmarkEnd w:id="1"/>
      <w:r>
        <w:t xml:space="preserve">: Visualization of </w:t>
      </w:r>
      <w:r w:rsidR="00600637">
        <w:t>high-</w:t>
      </w:r>
      <w:proofErr w:type="spellStart"/>
      <w:r w:rsidR="00600637">
        <w:t>prio</w:t>
      </w:r>
      <w:proofErr w:type="spellEnd"/>
      <w:r w:rsidR="00600637">
        <w:t xml:space="preserve"> directions for two prominent VR devices</w:t>
      </w:r>
      <w:r>
        <w:t xml:space="preserve">. </w:t>
      </w:r>
    </w:p>
    <w:p w14:paraId="3679C1D2" w14:textId="506B33F0" w:rsidR="00E41342" w:rsidRDefault="00E41342" w:rsidP="00BA1DF9">
      <w:pPr>
        <w:rPr>
          <w:noProof/>
        </w:rPr>
      </w:pPr>
      <w:r>
        <w:rPr>
          <w:noProof/>
        </w:rPr>
        <w:t xml:space="preserve">Regarding Proposal 1 from </w:t>
      </w:r>
      <w:r>
        <w:rPr>
          <w:noProof/>
        </w:rPr>
        <w:fldChar w:fldCharType="begin"/>
      </w:r>
      <w:r>
        <w:rPr>
          <w:noProof/>
        </w:rPr>
        <w:instrText xml:space="preserve"> REF _Ref202197213 \w </w:instrText>
      </w:r>
      <w:r>
        <w:rPr>
          <w:noProof/>
        </w:rPr>
        <w:fldChar w:fldCharType="separate"/>
      </w:r>
      <w:r w:rsidR="002E4EA1">
        <w:rPr>
          <w:noProof/>
        </w:rPr>
        <w:t>[3]</w:t>
      </w:r>
      <w:r>
        <w:rPr>
          <w:noProof/>
        </w:rPr>
        <w:fldChar w:fldCharType="end"/>
      </w:r>
      <w:r>
        <w:rPr>
          <w:noProof/>
        </w:rPr>
        <w:t xml:space="preserve">, it does not really </w:t>
      </w:r>
      <w:r w:rsidR="002127AC">
        <w:rPr>
          <w:noProof/>
        </w:rPr>
        <w:t>seem appropriate to define “relaxed minimum requirements” for the low-priority directions as the radiation</w:t>
      </w:r>
      <w:r w:rsidR="00134146">
        <w:rPr>
          <w:noProof/>
        </w:rPr>
        <w:t xml:space="preserve"> in those directions could/should be minimized to optimize the coverage in the high-priority directions</w:t>
      </w:r>
      <w:r w:rsidR="00EA1DF8">
        <w:rPr>
          <w:noProof/>
        </w:rPr>
        <w:t xml:space="preserve"> and the requirements should be applicable to </w:t>
      </w:r>
      <w:r w:rsidR="00C77999">
        <w:rPr>
          <w:noProof/>
        </w:rPr>
        <w:t>the directions that matter only.</w:t>
      </w:r>
    </w:p>
    <w:p w14:paraId="7B2EB818" w14:textId="434D64C5" w:rsidR="00134146" w:rsidRDefault="00134146" w:rsidP="00134146">
      <w:pPr>
        <w:pStyle w:val="Caption"/>
        <w:rPr>
          <w:noProof/>
        </w:rPr>
      </w:pPr>
      <w:bookmarkStart w:id="2" w:name="_Ref202345744"/>
      <w:r>
        <w:t xml:space="preserve">Proposal </w:t>
      </w:r>
      <w:r>
        <w:fldChar w:fldCharType="begin"/>
      </w:r>
      <w:r>
        <w:instrText xml:space="preserve"> SEQ Proposal \* ARABIC </w:instrText>
      </w:r>
      <w:r>
        <w:fldChar w:fldCharType="separate"/>
      </w:r>
      <w:r w:rsidR="002E4EA1">
        <w:rPr>
          <w:noProof/>
        </w:rPr>
        <w:t>1</w:t>
      </w:r>
      <w:r>
        <w:fldChar w:fldCharType="end"/>
      </w:r>
      <w:r>
        <w:t xml:space="preserve">: </w:t>
      </w:r>
      <w:r w:rsidR="00032513">
        <w:t>If low and high-priority regions are defined, d</w:t>
      </w:r>
      <w:r w:rsidR="002C1799">
        <w:t>efine requirements for the high-priority directions only, i.e., not for the low-priority directions</w:t>
      </w:r>
      <w:bookmarkEnd w:id="2"/>
    </w:p>
    <w:p w14:paraId="3A8035B8" w14:textId="2EAC8761" w:rsidR="00A50A99" w:rsidRDefault="00C46672" w:rsidP="00BA1DF9">
      <w:pPr>
        <w:rPr>
          <w:noProof/>
        </w:rPr>
      </w:pPr>
      <w:r>
        <w:rPr>
          <w:noProof/>
        </w:rPr>
        <w:fldChar w:fldCharType="begin"/>
      </w:r>
      <w:r>
        <w:rPr>
          <w:noProof/>
        </w:rPr>
        <w:instrText xml:space="preserve"> REF _Ref202261915 \h </w:instrText>
      </w:r>
      <w:r>
        <w:rPr>
          <w:noProof/>
        </w:rPr>
      </w:r>
      <w:r>
        <w:rPr>
          <w:noProof/>
        </w:rPr>
        <w:fldChar w:fldCharType="separate"/>
      </w:r>
      <w:r w:rsidR="002E4EA1">
        <w:t xml:space="preserve">Figure </w:t>
      </w:r>
      <w:r w:rsidR="002E4EA1">
        <w:rPr>
          <w:noProof/>
        </w:rPr>
        <w:t>2</w:t>
      </w:r>
      <w:r>
        <w:rPr>
          <w:noProof/>
        </w:rPr>
        <w:fldChar w:fldCharType="end"/>
      </w:r>
      <w:r>
        <w:rPr>
          <w:noProof/>
        </w:rPr>
        <w:t xml:space="preserve"> shows the same VR devices with the classical measurement grid of </w:t>
      </w:r>
      <w:r w:rsidRPr="00861E02">
        <w:rPr>
          <w:rFonts w:ascii="Symbol" w:hAnsi="Symbol"/>
          <w:noProof/>
        </w:rPr>
        <w:t>Dq</w:t>
      </w:r>
      <w:r>
        <w:rPr>
          <w:noProof/>
        </w:rPr>
        <w:t>=</w:t>
      </w:r>
      <w:r w:rsidRPr="00861E02">
        <w:rPr>
          <w:rFonts w:ascii="Symbol" w:hAnsi="Symbol"/>
          <w:noProof/>
        </w:rPr>
        <w:t>Df</w:t>
      </w:r>
      <w:r>
        <w:rPr>
          <w:noProof/>
        </w:rPr>
        <w:t>=15</w:t>
      </w:r>
      <w:r w:rsidR="00861E02">
        <w:rPr>
          <w:noProof/>
        </w:rPr>
        <w:t xml:space="preserve">°. The grid points inside the high-priority </w:t>
      </w:r>
      <w:r w:rsidR="00C600E1">
        <w:rPr>
          <w:noProof/>
        </w:rPr>
        <w:t xml:space="preserve">directions </w:t>
      </w:r>
      <w:r w:rsidR="00A00F62">
        <w:rPr>
          <w:noProof/>
        </w:rPr>
        <w:t xml:space="preserve">(enclosed by the yellow </w:t>
      </w:r>
      <w:r w:rsidR="005E0DF6">
        <w:rPr>
          <w:noProof/>
        </w:rPr>
        <w:t>circles/</w:t>
      </w:r>
      <w:r w:rsidR="00A00F62">
        <w:rPr>
          <w:noProof/>
        </w:rPr>
        <w:t xml:space="preserve">cones) </w:t>
      </w:r>
      <w:r w:rsidR="00C600E1">
        <w:rPr>
          <w:noProof/>
        </w:rPr>
        <w:t xml:space="preserve">are marked </w:t>
      </w:r>
      <w:r w:rsidR="00A00F62">
        <w:rPr>
          <w:noProof/>
        </w:rPr>
        <w:t>in</w:t>
      </w:r>
      <w:r w:rsidR="00C600E1">
        <w:rPr>
          <w:noProof/>
        </w:rPr>
        <w:t xml:space="preserve"> green while the grid points outside the high-priority directions are marked in red. </w:t>
      </w:r>
    </w:p>
    <w:p w14:paraId="7FB60481" w14:textId="6B22CF93" w:rsidR="00FA16D0" w:rsidRDefault="00C84B48" w:rsidP="002768ED">
      <w:pPr>
        <w:spacing w:after="0"/>
        <w:jc w:val="center"/>
        <w:rPr>
          <w:noProof/>
        </w:rPr>
      </w:pPr>
      <w:r w:rsidRPr="00C84B48">
        <w:rPr>
          <w:noProof/>
        </w:rPr>
        <w:lastRenderedPageBreak/>
        <w:drawing>
          <wp:inline distT="0" distB="0" distL="0" distR="0" wp14:anchorId="3C64B373" wp14:editId="4AF56921">
            <wp:extent cx="2743200" cy="2743200"/>
            <wp:effectExtent l="0" t="0" r="0" b="0"/>
            <wp:docPr id="1831758949" name="Picture 4" descr="A sphere with dots and lines around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58949" name="Picture 4" descr="A sphere with dots and lines around it&#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r w:rsidR="00276E72">
        <w:rPr>
          <w:noProof/>
        </w:rPr>
        <w:t xml:space="preserve">   </w:t>
      </w:r>
      <w:r w:rsidRPr="00C84B48">
        <w:rPr>
          <w:noProof/>
        </w:rPr>
        <w:drawing>
          <wp:inline distT="0" distB="0" distL="0" distR="0" wp14:anchorId="7E45241B" wp14:editId="71E7214D">
            <wp:extent cx="2784281" cy="2743200"/>
            <wp:effectExtent l="0" t="0" r="0" b="0"/>
            <wp:docPr id="220426820" name="Picture 3" descr="A sphere with a wireframe of a person's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426820" name="Picture 3" descr="A sphere with a wireframe of a person's body&#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4281" cy="2743200"/>
                    </a:xfrm>
                    <a:prstGeom prst="rect">
                      <a:avLst/>
                    </a:prstGeom>
                    <a:noFill/>
                    <a:ln>
                      <a:noFill/>
                    </a:ln>
                  </pic:spPr>
                </pic:pic>
              </a:graphicData>
            </a:graphic>
          </wp:inline>
        </w:drawing>
      </w:r>
    </w:p>
    <w:p w14:paraId="04D7B91C" w14:textId="212B50C1" w:rsidR="00FA16D0" w:rsidRDefault="00FA16D0" w:rsidP="002768ED">
      <w:pPr>
        <w:pStyle w:val="Quote"/>
        <w:spacing w:before="0" w:after="120"/>
        <w:rPr>
          <w:noProof/>
        </w:rPr>
      </w:pPr>
      <w:bookmarkStart w:id="3" w:name="_Ref202261915"/>
      <w:r>
        <w:t xml:space="preserve">Figure </w:t>
      </w:r>
      <w:r>
        <w:fldChar w:fldCharType="begin"/>
      </w:r>
      <w:r>
        <w:instrText xml:space="preserve"> SEQ Figure \* ARABIC </w:instrText>
      </w:r>
      <w:r>
        <w:fldChar w:fldCharType="separate"/>
      </w:r>
      <w:r w:rsidR="002E4EA1">
        <w:rPr>
          <w:noProof/>
        </w:rPr>
        <w:t>2</w:t>
      </w:r>
      <w:r>
        <w:fldChar w:fldCharType="end"/>
      </w:r>
      <w:bookmarkEnd w:id="3"/>
      <w:r>
        <w:t xml:space="preserve">: Visualization of </w:t>
      </w:r>
      <w:r w:rsidR="002768ED">
        <w:t xml:space="preserve">grid points inside and outside the </w:t>
      </w:r>
      <w:r>
        <w:t>high-</w:t>
      </w:r>
      <w:proofErr w:type="spellStart"/>
      <w:r>
        <w:t>prio</w:t>
      </w:r>
      <w:proofErr w:type="spellEnd"/>
      <w:r>
        <w:t xml:space="preserve"> directions for two prominent VR devices. </w:t>
      </w:r>
    </w:p>
    <w:p w14:paraId="07FC9392" w14:textId="062A4414" w:rsidR="00FA16D0" w:rsidRDefault="00F762CF" w:rsidP="00BA1DF9">
      <w:pPr>
        <w:rPr>
          <w:noProof/>
        </w:rPr>
      </w:pPr>
      <w:r>
        <w:rPr>
          <w:noProof/>
        </w:rPr>
        <w:t>Alternate high-priority</w:t>
      </w:r>
      <w:r w:rsidR="00E07954">
        <w:rPr>
          <w:noProof/>
        </w:rPr>
        <w:t xml:space="preserve"> directions/cone angles are shown in </w:t>
      </w:r>
      <w:r w:rsidR="00257C53">
        <w:rPr>
          <w:noProof/>
        </w:rPr>
        <w:fldChar w:fldCharType="begin"/>
      </w:r>
      <w:r w:rsidR="00257C53">
        <w:rPr>
          <w:noProof/>
        </w:rPr>
        <w:instrText xml:space="preserve"> REF _Ref196558522 \h </w:instrText>
      </w:r>
      <w:r w:rsidR="00257C53">
        <w:rPr>
          <w:noProof/>
        </w:rPr>
      </w:r>
      <w:r w:rsidR="00257C53">
        <w:rPr>
          <w:noProof/>
        </w:rPr>
        <w:fldChar w:fldCharType="separate"/>
      </w:r>
      <w:r w:rsidR="002E4EA1">
        <w:t xml:space="preserve">Figure </w:t>
      </w:r>
      <w:r w:rsidR="002E4EA1">
        <w:rPr>
          <w:noProof/>
        </w:rPr>
        <w:t>3</w:t>
      </w:r>
      <w:r w:rsidR="00257C53">
        <w:rPr>
          <w:noProof/>
        </w:rPr>
        <w:fldChar w:fldCharType="end"/>
      </w:r>
      <w:r>
        <w:rPr>
          <w:noProof/>
        </w:rPr>
        <w:t xml:space="preserve"> for one XR device only. </w:t>
      </w:r>
    </w:p>
    <w:p w14:paraId="1BE52D1B" w14:textId="7971BF5D" w:rsidR="00E07954" w:rsidRDefault="00257C53" w:rsidP="00152430">
      <w:pPr>
        <w:spacing w:after="0"/>
        <w:jc w:val="center"/>
        <w:rPr>
          <w:noProof/>
        </w:rPr>
      </w:pPr>
      <w:r w:rsidRPr="00257C53">
        <w:rPr>
          <w:noProof/>
        </w:rPr>
        <w:drawing>
          <wp:inline distT="0" distB="0" distL="0" distR="0" wp14:anchorId="04FB07B8" wp14:editId="3BA20C13">
            <wp:extent cx="1920240" cy="1891907"/>
            <wp:effectExtent l="0" t="0" r="3810" b="0"/>
            <wp:docPr id="985688527" name="Picture 6" descr="A wireframe of a sphere with a wire mesh around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88527" name="Picture 6" descr="A wireframe of a sphere with a wire mesh around it&#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1891907"/>
                    </a:xfrm>
                    <a:prstGeom prst="rect">
                      <a:avLst/>
                    </a:prstGeom>
                    <a:noFill/>
                    <a:ln>
                      <a:noFill/>
                    </a:ln>
                  </pic:spPr>
                </pic:pic>
              </a:graphicData>
            </a:graphic>
          </wp:inline>
        </w:drawing>
      </w:r>
      <w:r w:rsidRPr="00257C53">
        <w:rPr>
          <w:noProof/>
        </w:rPr>
        <w:drawing>
          <wp:inline distT="0" distB="0" distL="0" distR="0" wp14:anchorId="2D63D3A5" wp14:editId="5C657764">
            <wp:extent cx="1920240" cy="1891907"/>
            <wp:effectExtent l="0" t="0" r="3810" b="0"/>
            <wp:docPr id="383324152" name="Picture 5" descr="A sphere with a wireframe of a f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24152" name="Picture 5" descr="A sphere with a wireframe of a fan&#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1891907"/>
                    </a:xfrm>
                    <a:prstGeom prst="rect">
                      <a:avLst/>
                    </a:prstGeom>
                    <a:noFill/>
                    <a:ln>
                      <a:noFill/>
                    </a:ln>
                  </pic:spPr>
                </pic:pic>
              </a:graphicData>
            </a:graphic>
          </wp:inline>
        </w:drawing>
      </w:r>
      <w:r w:rsidR="00D720F4" w:rsidRPr="00D720F4">
        <w:rPr>
          <w:noProof/>
        </w:rPr>
        <w:drawing>
          <wp:inline distT="0" distB="0" distL="0" distR="0" wp14:anchorId="0414B0D0" wp14:editId="5B761737">
            <wp:extent cx="1920240" cy="1891908"/>
            <wp:effectExtent l="0" t="0" r="3810" b="0"/>
            <wp:docPr id="1353387317" name="Picture 7" descr="A sphere with many colored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387317" name="Picture 7" descr="A sphere with many colored dots and lines&#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240" cy="1891908"/>
                    </a:xfrm>
                    <a:prstGeom prst="rect">
                      <a:avLst/>
                    </a:prstGeom>
                    <a:noFill/>
                    <a:ln>
                      <a:noFill/>
                    </a:ln>
                  </pic:spPr>
                </pic:pic>
              </a:graphicData>
            </a:graphic>
          </wp:inline>
        </w:drawing>
      </w:r>
    </w:p>
    <w:p w14:paraId="1708DB1A" w14:textId="03EC6A27" w:rsidR="00606DDD" w:rsidRDefault="00606DDD" w:rsidP="00152430">
      <w:pPr>
        <w:pStyle w:val="Quote"/>
        <w:spacing w:before="0" w:after="120"/>
      </w:pPr>
      <w:bookmarkStart w:id="4" w:name="_Ref196558522"/>
      <w:r>
        <w:t xml:space="preserve">Figure </w:t>
      </w:r>
      <w:r>
        <w:fldChar w:fldCharType="begin"/>
      </w:r>
      <w:r>
        <w:instrText xml:space="preserve"> SEQ Figure \* ARABIC </w:instrText>
      </w:r>
      <w:r>
        <w:fldChar w:fldCharType="separate"/>
      </w:r>
      <w:r w:rsidR="002E4EA1">
        <w:rPr>
          <w:noProof/>
        </w:rPr>
        <w:t>3</w:t>
      </w:r>
      <w:r>
        <w:fldChar w:fldCharType="end"/>
      </w:r>
      <w:bookmarkEnd w:id="4"/>
      <w:r>
        <w:t xml:space="preserve">: Visualization of </w:t>
      </w:r>
      <w:r w:rsidR="00257C53">
        <w:t xml:space="preserve">alternate high-priority </w:t>
      </w:r>
      <w:r w:rsidR="00FF5C41">
        <w:t xml:space="preserve">areas; </w:t>
      </w:r>
      <w:proofErr w:type="gramStart"/>
      <w:r w:rsidR="00FF5C41">
        <w:t>left:</w:t>
      </w:r>
      <w:proofErr w:type="gramEnd"/>
      <w:r w:rsidR="00FF5C41">
        <w:t xml:space="preserve"> </w:t>
      </w:r>
      <w:proofErr w:type="spellStart"/>
      <w:r w:rsidR="00FF5C41">
        <w:t>front&amp;side</w:t>
      </w:r>
      <w:proofErr w:type="spellEnd"/>
      <w:r w:rsidR="00FF5C41">
        <w:t xml:space="preserve"> cone</w:t>
      </w:r>
      <w:r w:rsidR="00984BB1">
        <w:t xml:space="preserve"> angles</w:t>
      </w:r>
      <w:r w:rsidR="00FF5C41">
        <w:t xml:space="preserve">: ±45°; </w:t>
      </w:r>
      <w:r w:rsidR="00817BD3">
        <w:t>cent</w:t>
      </w:r>
      <w:r w:rsidR="00AB134C">
        <w:t>re</w:t>
      </w:r>
      <w:r w:rsidR="00FF5C41">
        <w:t>: front cone</w:t>
      </w:r>
      <w:r w:rsidR="00984BB1">
        <w:t xml:space="preserve"> angle: ±60°, side cone angle:</w:t>
      </w:r>
      <w:r w:rsidR="00984BB1" w:rsidRPr="00984BB1">
        <w:t xml:space="preserve"> </w:t>
      </w:r>
      <w:r w:rsidR="00984BB1">
        <w:t>±45°</w:t>
      </w:r>
      <w:r w:rsidR="00817BD3">
        <w:t xml:space="preserve">, </w:t>
      </w:r>
      <w:r w:rsidR="00AB134C">
        <w:t xml:space="preserve">right: </w:t>
      </w:r>
      <w:proofErr w:type="spellStart"/>
      <w:r w:rsidR="00AB134C">
        <w:t>front&amp;side</w:t>
      </w:r>
      <w:proofErr w:type="spellEnd"/>
      <w:r w:rsidR="00AB134C">
        <w:t xml:space="preserve"> cone angles: ±60°</w:t>
      </w:r>
    </w:p>
    <w:p w14:paraId="69519017" w14:textId="41A9AAC4" w:rsidR="00152430" w:rsidRDefault="00761106" w:rsidP="00152430">
      <w:r>
        <w:t>C</w:t>
      </w:r>
      <w:r w:rsidR="001E2847">
        <w:t xml:space="preserve">onical partial </w:t>
      </w:r>
      <w:r w:rsidR="00A0115F">
        <w:t xml:space="preserve">surfaces </w:t>
      </w:r>
      <w:r w:rsidR="00233B4A">
        <w:t>are</w:t>
      </w:r>
      <w:r w:rsidR="00A0115F">
        <w:t xml:space="preserve"> considered for NTN OTA </w:t>
      </w:r>
      <w:r w:rsidR="00514749">
        <w:t>testing;</w:t>
      </w:r>
      <w:r w:rsidR="00815E6F">
        <w:t xml:space="preserve"> </w:t>
      </w:r>
      <w:r w:rsidR="00D83591">
        <w:t xml:space="preserve">however, </w:t>
      </w:r>
      <w:r w:rsidR="00815E6F">
        <w:t>concerns</w:t>
      </w:r>
      <w:r w:rsidR="006B164A">
        <w:t xml:space="preserve"> were raised about the integration over arbitrary</w:t>
      </w:r>
      <w:r w:rsidR="0011138C">
        <w:t xml:space="preserve"> directions and/or directions other than the </w:t>
      </w:r>
      <w:proofErr w:type="spellStart"/>
      <w:r w:rsidR="0011138C">
        <w:t>top&amp;bottom</w:t>
      </w:r>
      <w:proofErr w:type="spellEnd"/>
      <w:r w:rsidR="0011138C">
        <w:t xml:space="preserve"> poles for complexity reasons</w:t>
      </w:r>
      <w:r w:rsidR="001B79DD">
        <w:t xml:space="preserve"> </w:t>
      </w:r>
      <w:r w:rsidR="001B79DD">
        <w:fldChar w:fldCharType="begin"/>
      </w:r>
      <w:r w:rsidR="001B79DD">
        <w:instrText xml:space="preserve"> REF _Ref202263478 \w </w:instrText>
      </w:r>
      <w:r w:rsidR="001B79DD">
        <w:fldChar w:fldCharType="separate"/>
      </w:r>
      <w:r w:rsidR="002E4EA1">
        <w:t>[4]</w:t>
      </w:r>
      <w:r w:rsidR="001B79DD">
        <w:fldChar w:fldCharType="end"/>
      </w:r>
      <w:r w:rsidR="00D83591">
        <w:t>. I</w:t>
      </w:r>
      <w:r w:rsidR="001B79DD">
        <w:t>t was subsequently agreed</w:t>
      </w:r>
      <w:r w:rsidR="00DC02C8">
        <w:t xml:space="preserve"> to consider partial spheres around the top pole only</w:t>
      </w:r>
      <w:r w:rsidR="00603B8B">
        <w:t xml:space="preserve"> </w:t>
      </w:r>
      <w:r w:rsidR="00603B8B">
        <w:fldChar w:fldCharType="begin"/>
      </w:r>
      <w:r w:rsidR="00603B8B">
        <w:instrText xml:space="preserve"> REF _Ref200009620 \w </w:instrText>
      </w:r>
      <w:r w:rsidR="00603B8B">
        <w:fldChar w:fldCharType="separate"/>
      </w:r>
      <w:r w:rsidR="002E4EA1">
        <w:t>[2]</w:t>
      </w:r>
      <w:r w:rsidR="00603B8B">
        <w:fldChar w:fldCharType="end"/>
      </w:r>
    </w:p>
    <w:tbl>
      <w:tblPr>
        <w:tblStyle w:val="TableGrid"/>
        <w:tblW w:w="0" w:type="auto"/>
        <w:tblLook w:val="04A0" w:firstRow="1" w:lastRow="0" w:firstColumn="1" w:lastColumn="0" w:noHBand="0" w:noVBand="1"/>
      </w:tblPr>
      <w:tblGrid>
        <w:gridCol w:w="9629"/>
      </w:tblGrid>
      <w:tr w:rsidR="00DC02C8" w14:paraId="2B61C141" w14:textId="77777777" w:rsidTr="00DC02C8">
        <w:tc>
          <w:tcPr>
            <w:tcW w:w="9629" w:type="dxa"/>
          </w:tcPr>
          <w:p w14:paraId="4CDA8216" w14:textId="77777777" w:rsidR="00DC02C8" w:rsidRPr="00CB2117" w:rsidRDefault="00DC02C8" w:rsidP="00DC02C8">
            <w:pPr>
              <w:rPr>
                <w:b/>
                <w:u w:val="single"/>
                <w:lang w:eastAsia="zh-CN"/>
              </w:rPr>
            </w:pPr>
            <w:r w:rsidRPr="00CB2117">
              <w:rPr>
                <w:b/>
                <w:u w:val="single"/>
                <w:lang w:eastAsia="ko-KR"/>
              </w:rPr>
              <w:t xml:space="preserve">Issue </w:t>
            </w:r>
            <w:r w:rsidRPr="00CB2117">
              <w:rPr>
                <w:rFonts w:hint="eastAsia"/>
                <w:b/>
                <w:u w:val="single"/>
                <w:lang w:eastAsia="zh-CN"/>
              </w:rPr>
              <w:t>2</w:t>
            </w:r>
            <w:r w:rsidRPr="00CB2117">
              <w:rPr>
                <w:b/>
                <w:u w:val="single"/>
                <w:lang w:eastAsia="ko-KR"/>
              </w:rPr>
              <w:t>-1-</w:t>
            </w:r>
            <w:r w:rsidRPr="00CB2117">
              <w:rPr>
                <w:rFonts w:hint="eastAsia"/>
                <w:b/>
                <w:u w:val="single"/>
                <w:lang w:eastAsia="zh-CN"/>
              </w:rPr>
              <w:t>4</w:t>
            </w:r>
            <w:r w:rsidRPr="00CB2117">
              <w:rPr>
                <w:b/>
                <w:u w:val="single"/>
                <w:lang w:eastAsia="ko-KR"/>
              </w:rPr>
              <w:t xml:space="preserve">: </w:t>
            </w:r>
            <w:r w:rsidRPr="00CB2117">
              <w:rPr>
                <w:rFonts w:hint="eastAsia"/>
                <w:b/>
                <w:u w:val="single"/>
                <w:lang w:eastAsia="zh-CN"/>
              </w:rPr>
              <w:t xml:space="preserve">Whether the partial sphere is using the </w:t>
            </w:r>
            <w:r w:rsidRPr="00CB2117">
              <w:rPr>
                <w:rFonts w:ascii="Symbol" w:hAnsi="Symbol"/>
                <w:b/>
                <w:u w:val="single"/>
              </w:rPr>
              <w:t></w:t>
            </w:r>
            <w:r w:rsidRPr="00CB2117">
              <w:rPr>
                <w:b/>
                <w:u w:val="single"/>
              </w:rPr>
              <w:t xml:space="preserve">=0° (top pole) </w:t>
            </w:r>
            <w:r w:rsidRPr="00CB2117">
              <w:rPr>
                <w:rFonts w:eastAsiaTheme="minorEastAsia" w:hint="eastAsia"/>
                <w:b/>
                <w:u w:val="single"/>
                <w:lang w:eastAsia="zh-CN"/>
              </w:rPr>
              <w:t xml:space="preserve">as a </w:t>
            </w:r>
            <w:proofErr w:type="spellStart"/>
            <w:r w:rsidRPr="00CB2117">
              <w:rPr>
                <w:rFonts w:eastAsiaTheme="minorEastAsia" w:hint="eastAsia"/>
                <w:b/>
                <w:u w:val="single"/>
                <w:lang w:eastAsia="zh-CN"/>
              </w:rPr>
              <w:t>center</w:t>
            </w:r>
            <w:proofErr w:type="spellEnd"/>
            <w:r w:rsidRPr="00CB2117">
              <w:rPr>
                <w:rFonts w:hint="eastAsia"/>
                <w:b/>
                <w:u w:val="single"/>
                <w:lang w:eastAsia="zh-CN"/>
              </w:rPr>
              <w:t xml:space="preserve"> </w:t>
            </w:r>
          </w:p>
          <w:p w14:paraId="75BD56FD" w14:textId="77777777" w:rsidR="00DC02C8" w:rsidRPr="00CB2117" w:rsidRDefault="00DC02C8" w:rsidP="00DC02C8">
            <w:pPr>
              <w:rPr>
                <w:b/>
                <w:u w:val="single"/>
                <w:lang w:eastAsia="zh-CN"/>
              </w:rPr>
            </w:pPr>
            <w:r w:rsidRPr="00CB2117">
              <w:rPr>
                <w:b/>
                <w:u w:val="single"/>
                <w:lang w:eastAsia="zh-CN"/>
              </w:rPr>
              <w:t>A</w:t>
            </w:r>
            <w:r w:rsidRPr="00CB2117">
              <w:rPr>
                <w:rFonts w:hint="eastAsia"/>
                <w:b/>
                <w:u w:val="single"/>
                <w:lang w:eastAsia="zh-CN"/>
              </w:rPr>
              <w:t>greements:</w:t>
            </w:r>
          </w:p>
          <w:p w14:paraId="0D4BAE13" w14:textId="5DC59CE0" w:rsidR="00DC02C8" w:rsidRPr="00DC02C8" w:rsidRDefault="00DC02C8" w:rsidP="00DC02C8">
            <w:pPr>
              <w:ind w:firstLine="284"/>
              <w:rPr>
                <w:rFonts w:eastAsiaTheme="minorEastAsia"/>
                <w:lang w:val="en-US" w:eastAsia="zh-CN"/>
              </w:rPr>
            </w:pPr>
            <w:r w:rsidRPr="002E783A">
              <w:rPr>
                <w:rStyle w:val="rynqvb"/>
                <w:rFonts w:eastAsiaTheme="minorEastAsia"/>
                <w:lang w:val="en-US" w:eastAsia="zh-CN"/>
              </w:rPr>
              <w:t xml:space="preserve">the partial sphere </w:t>
            </w:r>
            <w:r w:rsidRPr="002E783A">
              <w:rPr>
                <w:rStyle w:val="rynqvb"/>
                <w:rFonts w:eastAsiaTheme="minorEastAsia" w:hint="eastAsia"/>
                <w:lang w:val="en-US" w:eastAsia="zh-CN"/>
              </w:rPr>
              <w:t xml:space="preserve">metric </w:t>
            </w:r>
            <w:r w:rsidRPr="002E783A">
              <w:rPr>
                <w:rStyle w:val="rynqvb"/>
                <w:rFonts w:eastAsiaTheme="minorEastAsia"/>
                <w:lang w:val="en-US" w:eastAsia="zh-CN"/>
              </w:rPr>
              <w:t xml:space="preserve">is using the </w:t>
            </w:r>
            <w:r w:rsidRPr="002E783A">
              <w:rPr>
                <w:rFonts w:ascii="Symbol" w:hAnsi="Symbol"/>
                <w:u w:val="single"/>
              </w:rPr>
              <w:t></w:t>
            </w:r>
            <w:r w:rsidRPr="002E783A">
              <w:rPr>
                <w:rStyle w:val="rynqvb"/>
                <w:rFonts w:eastAsiaTheme="minorEastAsia"/>
                <w:lang w:val="en-US" w:eastAsia="zh-CN"/>
              </w:rPr>
              <w:t xml:space="preserve"> =0° (top pole) as a center</w:t>
            </w:r>
          </w:p>
        </w:tc>
      </w:tr>
    </w:tbl>
    <w:p w14:paraId="3A087A3F" w14:textId="3400FF0B" w:rsidR="00DC02C8" w:rsidRDefault="00603B8B" w:rsidP="00152430">
      <w:r>
        <w:t xml:space="preserve">It is therefore proposed </w:t>
      </w:r>
      <w:r w:rsidR="00426FC6">
        <w:t xml:space="preserve">not to consider multiple partial conical </w:t>
      </w:r>
      <w:r w:rsidR="00F67FCA">
        <w:t xml:space="preserve">surfaces as high-priority directions for the same complexity concerns as voiced in </w:t>
      </w:r>
      <w:r w:rsidR="00F67FCA">
        <w:fldChar w:fldCharType="begin"/>
      </w:r>
      <w:r w:rsidR="00F67FCA">
        <w:instrText xml:space="preserve"> REF _Ref202263478 \w </w:instrText>
      </w:r>
      <w:r w:rsidR="00F67FCA">
        <w:fldChar w:fldCharType="separate"/>
      </w:r>
      <w:r w:rsidR="002E4EA1">
        <w:t>[4]</w:t>
      </w:r>
      <w:r w:rsidR="00F67FCA">
        <w:fldChar w:fldCharType="end"/>
      </w:r>
    </w:p>
    <w:p w14:paraId="463D1E01" w14:textId="7371AD22" w:rsidR="00F67FCA" w:rsidRDefault="00F67FCA" w:rsidP="00F67FCA">
      <w:pPr>
        <w:pStyle w:val="Caption"/>
      </w:pPr>
      <w:bookmarkStart w:id="5" w:name="_Ref202345745"/>
      <w:r>
        <w:t xml:space="preserve">Proposal </w:t>
      </w:r>
      <w:r>
        <w:fldChar w:fldCharType="begin"/>
      </w:r>
      <w:r>
        <w:instrText xml:space="preserve"> SEQ Proposal \* ARABIC </w:instrText>
      </w:r>
      <w:r>
        <w:fldChar w:fldCharType="separate"/>
      </w:r>
      <w:r w:rsidR="002E4EA1">
        <w:rPr>
          <w:noProof/>
        </w:rPr>
        <w:t>2</w:t>
      </w:r>
      <w:r>
        <w:fldChar w:fldCharType="end"/>
      </w:r>
      <w:r>
        <w:t xml:space="preserve">: Do not consider multiple partial conical surfaces as high-priority directions </w:t>
      </w:r>
      <w:r w:rsidR="00B3148E">
        <w:t xml:space="preserve">to avoid </w:t>
      </w:r>
      <w:r>
        <w:t xml:space="preserve">complexity </w:t>
      </w:r>
      <w:r w:rsidR="00B3148E">
        <w:t>for system vendors</w:t>
      </w:r>
      <w:bookmarkEnd w:id="5"/>
    </w:p>
    <w:p w14:paraId="2026D7F4" w14:textId="33102B35" w:rsidR="00AF6487" w:rsidRPr="00AF6487" w:rsidRDefault="00AF6487" w:rsidP="00AF6487">
      <w:r>
        <w:t>Instead, it is proposed to consider</w:t>
      </w:r>
      <w:r w:rsidR="009446D5">
        <w:t xml:space="preserve"> near-horizon</w:t>
      </w:r>
      <w:r w:rsidR="007A5A46">
        <w:t xml:space="preserve"> partial surfaces that seem more </w:t>
      </w:r>
      <w:r w:rsidR="000C05F6">
        <w:t>suitable for</w:t>
      </w:r>
      <w:r w:rsidR="007A5A46">
        <w:t xml:space="preserve"> XR devices given the typical use case</w:t>
      </w:r>
      <w:r w:rsidR="000C05F6">
        <w:t xml:space="preserve"> with </w:t>
      </w:r>
      <w:r w:rsidR="007540DF" w:rsidRPr="009C31E3">
        <w:t>consistent orientation</w:t>
      </w:r>
      <w:r w:rsidR="007540DF">
        <w:t xml:space="preserve"> of the head and the </w:t>
      </w:r>
      <w:r w:rsidR="00C04367">
        <w:t>primary direction of base</w:t>
      </w:r>
      <w:r w:rsidR="009E2F5F">
        <w:t xml:space="preserve"> </w:t>
      </w:r>
      <w:r w:rsidR="00C04367">
        <w:t>stations in the hear horizon range</w:t>
      </w:r>
      <w:r w:rsidR="008B14A2">
        <w:t xml:space="preserve"> </w:t>
      </w:r>
      <w:r w:rsidR="009E2F5F">
        <w:t>as well as</w:t>
      </w:r>
      <w:r w:rsidR="008B14A2">
        <w:t xml:space="preserve"> the lack of </w:t>
      </w:r>
      <w:r w:rsidR="00163914">
        <w:t>importance</w:t>
      </w:r>
      <w:r w:rsidR="008B14A2">
        <w:t xml:space="preserve"> to prioritize radiation towards the top </w:t>
      </w:r>
      <w:r w:rsidR="006D53EF">
        <w:t>(+</w:t>
      </w:r>
      <w:r w:rsidR="006D53EF" w:rsidRPr="006D53EF">
        <w:rPr>
          <w:i/>
          <w:iCs/>
        </w:rPr>
        <w:t>z</w:t>
      </w:r>
      <w:r w:rsidR="006D53EF">
        <w:t xml:space="preserve">) </w:t>
      </w:r>
      <w:r w:rsidR="008B14A2">
        <w:t xml:space="preserve">and bottom </w:t>
      </w:r>
      <w:r w:rsidR="006D53EF">
        <w:t>(-</w:t>
      </w:r>
      <w:r w:rsidR="006D53EF" w:rsidRPr="006D53EF">
        <w:rPr>
          <w:i/>
          <w:iCs/>
        </w:rPr>
        <w:t>z</w:t>
      </w:r>
      <w:r w:rsidR="006D53EF">
        <w:t xml:space="preserve">) </w:t>
      </w:r>
      <w:r w:rsidR="008B14A2">
        <w:t xml:space="preserve">of the </w:t>
      </w:r>
      <w:r w:rsidR="006D53EF">
        <w:t xml:space="preserve">DUTs. </w:t>
      </w:r>
      <w:r w:rsidR="000E44EF">
        <w:t>A</w:t>
      </w:r>
      <w:r w:rsidR="002C204C">
        <w:t xml:space="preserve"> near-horizon</w:t>
      </w:r>
      <w:r w:rsidR="00D83CC3">
        <w:t xml:space="preserve"> partial </w:t>
      </w:r>
      <w:r w:rsidR="000806A9">
        <w:t xml:space="preserve">surface approach is visualized in </w:t>
      </w:r>
      <w:r w:rsidR="005D15CD">
        <w:fldChar w:fldCharType="begin"/>
      </w:r>
      <w:r w:rsidR="005D15CD">
        <w:instrText xml:space="preserve"> REF _Ref196558523 \h </w:instrText>
      </w:r>
      <w:r w:rsidR="005D15CD">
        <w:fldChar w:fldCharType="separate"/>
      </w:r>
      <w:r w:rsidR="002E4EA1">
        <w:t xml:space="preserve">Figure </w:t>
      </w:r>
      <w:r w:rsidR="002E4EA1">
        <w:rPr>
          <w:noProof/>
        </w:rPr>
        <w:t>4</w:t>
      </w:r>
      <w:r w:rsidR="005D15CD">
        <w:fldChar w:fldCharType="end"/>
      </w:r>
      <w:r w:rsidR="002369DF">
        <w:t>. Here, the angular range measured from the horizon is ±30°</w:t>
      </w:r>
      <w:r w:rsidR="00F172C6">
        <w:t xml:space="preserve"> with a full azimuthal coverage; the high-priority directions are within the yellow</w:t>
      </w:r>
      <w:r w:rsidR="00FA1230">
        <w:t xml:space="preserve"> latitude lines</w:t>
      </w:r>
      <w:r w:rsidR="00044F7A">
        <w:t xml:space="preserve"> and the grid points within th</w:t>
      </w:r>
      <w:r w:rsidR="00D772BD">
        <w:t xml:space="preserve">e high-priority directions are marked in green while the </w:t>
      </w:r>
      <w:r w:rsidR="003F24C6">
        <w:t>grid points</w:t>
      </w:r>
      <w:r w:rsidR="00585927">
        <w:t xml:space="preserve"> outside those the high</w:t>
      </w:r>
      <w:r w:rsidR="00D772BD">
        <w:t xml:space="preserve">-priority directions are marked in red. </w:t>
      </w:r>
    </w:p>
    <w:p w14:paraId="49CA2FF0" w14:textId="6FABD2A4" w:rsidR="00606DDD" w:rsidRDefault="00587B40" w:rsidP="00D467BD">
      <w:pPr>
        <w:spacing w:after="0"/>
        <w:jc w:val="center"/>
        <w:rPr>
          <w:noProof/>
        </w:rPr>
      </w:pPr>
      <w:r w:rsidRPr="00587B40">
        <w:rPr>
          <w:noProof/>
        </w:rPr>
        <w:lastRenderedPageBreak/>
        <w:drawing>
          <wp:inline distT="0" distB="0" distL="0" distR="0" wp14:anchorId="1F109D03" wp14:editId="57584F4D">
            <wp:extent cx="4572000" cy="2868707"/>
            <wp:effectExtent l="0" t="0" r="0" b="8255"/>
            <wp:docPr id="646351109" name="Picture 9" descr="A diagram of a sphere with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351109" name="Picture 9" descr="A diagram of a sphere with colored dots&#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000" cy="2868707"/>
                    </a:xfrm>
                    <a:prstGeom prst="rect">
                      <a:avLst/>
                    </a:prstGeom>
                    <a:noFill/>
                    <a:ln>
                      <a:noFill/>
                    </a:ln>
                  </pic:spPr>
                </pic:pic>
              </a:graphicData>
            </a:graphic>
          </wp:inline>
        </w:drawing>
      </w:r>
      <w:r w:rsidRPr="00587B40">
        <w:rPr>
          <w:noProof/>
        </w:rPr>
        <w:drawing>
          <wp:inline distT="0" distB="0" distL="0" distR="0" wp14:anchorId="5B6440A6" wp14:editId="0B1FA061">
            <wp:extent cx="4572000" cy="2941277"/>
            <wp:effectExtent l="0" t="0" r="0" b="0"/>
            <wp:docPr id="450404203" name="Picture 8" descr="A diagram of a sphere with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04203" name="Picture 8" descr="A diagram of a sphere with dots and lin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2000" cy="2941277"/>
                    </a:xfrm>
                    <a:prstGeom prst="rect">
                      <a:avLst/>
                    </a:prstGeom>
                    <a:noFill/>
                    <a:ln>
                      <a:noFill/>
                    </a:ln>
                  </pic:spPr>
                </pic:pic>
              </a:graphicData>
            </a:graphic>
          </wp:inline>
        </w:drawing>
      </w:r>
    </w:p>
    <w:p w14:paraId="70082B7A" w14:textId="691F2942" w:rsidR="00D854F6" w:rsidRDefault="00606DDD" w:rsidP="007661A2">
      <w:pPr>
        <w:pStyle w:val="Quote"/>
        <w:spacing w:before="0"/>
      </w:pPr>
      <w:bookmarkStart w:id="6" w:name="_Ref196558523"/>
      <w:r>
        <w:t xml:space="preserve">Figure </w:t>
      </w:r>
      <w:r>
        <w:fldChar w:fldCharType="begin"/>
      </w:r>
      <w:r>
        <w:instrText xml:space="preserve"> SEQ Figure \* ARABIC </w:instrText>
      </w:r>
      <w:r>
        <w:fldChar w:fldCharType="separate"/>
      </w:r>
      <w:r w:rsidR="002E4EA1">
        <w:rPr>
          <w:noProof/>
        </w:rPr>
        <w:t>4</w:t>
      </w:r>
      <w:r>
        <w:fldChar w:fldCharType="end"/>
      </w:r>
      <w:bookmarkEnd w:id="6"/>
      <w:r>
        <w:t xml:space="preserve">: Visualization of </w:t>
      </w:r>
      <w:r w:rsidR="000806A9">
        <w:t xml:space="preserve">near-horizon </w:t>
      </w:r>
      <w:r>
        <w:t>partial surface with ±</w:t>
      </w:r>
      <w:r w:rsidR="000806A9">
        <w:t>30</w:t>
      </w:r>
      <w:r>
        <w:t>° angular width.</w:t>
      </w:r>
    </w:p>
    <w:p w14:paraId="2A6A3CD6" w14:textId="74F473BD" w:rsidR="000E5FAB" w:rsidRDefault="00D467BD" w:rsidP="00650ACB">
      <w:r>
        <w:t>Altern</w:t>
      </w:r>
      <w:r w:rsidR="007661A2">
        <w:t>ate near-horizon partial surfaces are shown</w:t>
      </w:r>
      <w:r w:rsidR="00AD0F0B">
        <w:t xml:space="preserve"> </w:t>
      </w:r>
      <w:r w:rsidR="00AD0F0B">
        <w:fldChar w:fldCharType="begin"/>
      </w:r>
      <w:r w:rsidR="00AD0F0B">
        <w:instrText xml:space="preserve"> REF _Ref202345136 \h </w:instrText>
      </w:r>
      <w:r w:rsidR="00AD0F0B">
        <w:fldChar w:fldCharType="separate"/>
      </w:r>
      <w:r w:rsidR="002E4EA1">
        <w:t xml:space="preserve">Figure </w:t>
      </w:r>
      <w:r w:rsidR="002E4EA1">
        <w:rPr>
          <w:noProof/>
        </w:rPr>
        <w:t>5</w:t>
      </w:r>
      <w:r w:rsidR="00AD0F0B">
        <w:fldChar w:fldCharType="end"/>
      </w:r>
      <w:r w:rsidR="00AA1A80">
        <w:t xml:space="preserve"> including a novel near-horizon approach that limits the azimuthal range and not considers</w:t>
      </w:r>
      <w:r w:rsidR="00460348">
        <w:t xml:space="preserve"> radiation towards the back of the XR devices. </w:t>
      </w:r>
    </w:p>
    <w:p w14:paraId="3CB72FAD" w14:textId="64FB0CC6" w:rsidR="00D467BD" w:rsidRDefault="000E5FAB" w:rsidP="00650ACB">
      <w:r>
        <w:t>It is proposed to consider the near-horizon partial integrated metric</w:t>
      </w:r>
      <w:r w:rsidR="007007BD">
        <w:t>s</w:t>
      </w:r>
      <w:r>
        <w:t xml:space="preserve">, NHPRP </w:t>
      </w:r>
      <w:r w:rsidR="00486B5F">
        <w:t xml:space="preserve">(Near Horizon Partial Radiated Power) </w:t>
      </w:r>
      <w:r>
        <w:t>for TX and NHP</w:t>
      </w:r>
      <w:r w:rsidR="00486B5F">
        <w:t>R</w:t>
      </w:r>
      <w:r w:rsidR="00972E4D">
        <w:t>S</w:t>
      </w:r>
      <w:r w:rsidR="00486B5F">
        <w:t xml:space="preserve"> (Near Horizon Partial Radiated Sensitivity)</w:t>
      </w:r>
      <w:r w:rsidR="00972E4D">
        <w:t xml:space="preserve"> for RX, for XR devices rather than full TRP/TRS metrics as this will </w:t>
      </w:r>
      <w:r w:rsidR="00AC3B9E">
        <w:t>assess performance in the directions that matter</w:t>
      </w:r>
      <w:r w:rsidR="00464CA6">
        <w:t xml:space="preserve"> most</w:t>
      </w:r>
      <w:r w:rsidR="00AC3B9E">
        <w:t xml:space="preserve"> for these types of devices and </w:t>
      </w:r>
      <w:r w:rsidR="001156A7">
        <w:t xml:space="preserve">it supports </w:t>
      </w:r>
      <w:r w:rsidR="00464CA6">
        <w:t xml:space="preserve">a significant reduction in </w:t>
      </w:r>
      <w:r w:rsidR="001156A7">
        <w:t xml:space="preserve">test time which could be problematic </w:t>
      </w:r>
      <w:r w:rsidR="00AE45A8">
        <w:t>for some XR device types, e.g., glasses</w:t>
      </w:r>
      <w:r w:rsidR="00AD05D8">
        <w:t xml:space="preserve"> with limited battery capacity</w:t>
      </w:r>
      <w:r w:rsidR="00AE45A8">
        <w:t xml:space="preserve">. </w:t>
      </w:r>
      <w:r w:rsidR="00460348">
        <w:t>Feedback from operators and OEMs is requested on the range of near horizon</w:t>
      </w:r>
      <w:r w:rsidR="00AE45A8">
        <w:t xml:space="preserve"> coverage and whether full (360°) or rather partial azimuthal coverage (270°) is </w:t>
      </w:r>
      <w:r w:rsidR="003231BC">
        <w:t>more desirable.</w:t>
      </w:r>
    </w:p>
    <w:p w14:paraId="2410AB6D" w14:textId="003E5798" w:rsidR="003231BC" w:rsidRDefault="003231BC" w:rsidP="003231BC">
      <w:pPr>
        <w:pStyle w:val="Caption"/>
      </w:pPr>
      <w:bookmarkStart w:id="7" w:name="_Ref202345746"/>
      <w:r>
        <w:t xml:space="preserve">Proposal </w:t>
      </w:r>
      <w:r>
        <w:fldChar w:fldCharType="begin"/>
      </w:r>
      <w:r>
        <w:instrText xml:space="preserve"> SEQ Proposal \* ARABIC </w:instrText>
      </w:r>
      <w:r>
        <w:fldChar w:fldCharType="separate"/>
      </w:r>
      <w:r w:rsidR="002E4EA1">
        <w:rPr>
          <w:noProof/>
        </w:rPr>
        <w:t>3</w:t>
      </w:r>
      <w:r>
        <w:fldChar w:fldCharType="end"/>
      </w:r>
      <w:r>
        <w:t xml:space="preserve">: </w:t>
      </w:r>
      <w:r w:rsidR="0071638A">
        <w:t>If high-priority</w:t>
      </w:r>
      <w:r w:rsidR="00963304">
        <w:t xml:space="preserve"> regions are considered f</w:t>
      </w:r>
      <w:r>
        <w:t>or XR devices, select the near-horizon as high-priority</w:t>
      </w:r>
      <w:r w:rsidR="007007BD">
        <w:t xml:space="preserve"> direction and define near-horizon partial integrated metrics, NHPRP for TX and NHP</w:t>
      </w:r>
      <w:r w:rsidR="00DC0BA1">
        <w:t>R</w:t>
      </w:r>
      <w:r w:rsidR="007007BD">
        <w:t>S for RX, for XR devices rather than full TRP/TRS metrics</w:t>
      </w:r>
      <w:bookmarkEnd w:id="7"/>
    </w:p>
    <w:p w14:paraId="14D17965" w14:textId="3D63515F" w:rsidR="007F38A7" w:rsidRDefault="007F38A7" w:rsidP="007F38A7">
      <w:pPr>
        <w:pStyle w:val="Caption"/>
      </w:pPr>
      <w:bookmarkStart w:id="8" w:name="_Ref202345747"/>
      <w:r>
        <w:t xml:space="preserve">Proposal </w:t>
      </w:r>
      <w:r>
        <w:fldChar w:fldCharType="begin"/>
      </w:r>
      <w:r>
        <w:instrText xml:space="preserve"> SEQ Proposal \* ARABIC </w:instrText>
      </w:r>
      <w:r>
        <w:fldChar w:fldCharType="separate"/>
      </w:r>
      <w:r w:rsidR="002E4EA1">
        <w:rPr>
          <w:noProof/>
        </w:rPr>
        <w:t>4</w:t>
      </w:r>
      <w:r>
        <w:fldChar w:fldCharType="end"/>
      </w:r>
      <w:r>
        <w:t xml:space="preserve">: </w:t>
      </w:r>
      <w:r w:rsidR="004159CD">
        <w:t>Feedback from operators and OEMs is requested on the range of near horizon coverage</w:t>
      </w:r>
      <w:r w:rsidR="006B73AC">
        <w:t>, e.g., ±30° or ±45°,</w:t>
      </w:r>
      <w:r w:rsidR="004159CD">
        <w:t xml:space="preserve"> and whether full (360°) or rather partial azimuthal coverage (270°) is more desirable</w:t>
      </w:r>
      <w:bookmarkEnd w:id="8"/>
    </w:p>
    <w:p w14:paraId="06655B30" w14:textId="5CC4BEF2" w:rsidR="007661A2" w:rsidRDefault="00082360" w:rsidP="007661A2">
      <w:pPr>
        <w:spacing w:after="0"/>
        <w:jc w:val="center"/>
        <w:rPr>
          <w:noProof/>
        </w:rPr>
      </w:pPr>
      <w:r w:rsidRPr="00082360">
        <w:rPr>
          <w:noProof/>
        </w:rPr>
        <w:lastRenderedPageBreak/>
        <w:drawing>
          <wp:inline distT="0" distB="0" distL="0" distR="0" wp14:anchorId="4EEF0776" wp14:editId="563439E1">
            <wp:extent cx="4572000" cy="2942700"/>
            <wp:effectExtent l="0" t="0" r="0" b="0"/>
            <wp:docPr id="1320951843" name="Picture 3" descr="A diagram of 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51843" name="Picture 3" descr="A diagram of a sphere with different colore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942700"/>
                    </a:xfrm>
                    <a:prstGeom prst="rect">
                      <a:avLst/>
                    </a:prstGeom>
                    <a:noFill/>
                    <a:ln>
                      <a:noFill/>
                    </a:ln>
                  </pic:spPr>
                </pic:pic>
              </a:graphicData>
            </a:graphic>
          </wp:inline>
        </w:drawing>
      </w:r>
      <w:r w:rsidRPr="00082360">
        <w:rPr>
          <w:noProof/>
        </w:rPr>
        <w:drawing>
          <wp:inline distT="0" distB="0" distL="0" distR="0" wp14:anchorId="42FE22C4" wp14:editId="17DD6298">
            <wp:extent cx="4572000" cy="2836927"/>
            <wp:effectExtent l="0" t="0" r="0" b="1905"/>
            <wp:docPr id="246006239" name="Picture 2" descr="A diagram of 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06239" name="Picture 2" descr="A diagram of 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836927"/>
                    </a:xfrm>
                    <a:prstGeom prst="rect">
                      <a:avLst/>
                    </a:prstGeom>
                    <a:noFill/>
                    <a:ln>
                      <a:noFill/>
                    </a:ln>
                  </pic:spPr>
                </pic:pic>
              </a:graphicData>
            </a:graphic>
          </wp:inline>
        </w:drawing>
      </w:r>
      <w:r w:rsidRPr="00082360">
        <w:rPr>
          <w:noProof/>
        </w:rPr>
        <w:drawing>
          <wp:inline distT="0" distB="0" distL="0" distR="0" wp14:anchorId="2A889E6F" wp14:editId="0297945F">
            <wp:extent cx="4572000" cy="2836927"/>
            <wp:effectExtent l="0" t="0" r="0" b="1905"/>
            <wp:docPr id="489652650" name="Picture 1" descr="A diagram of a virtual reality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52650" name="Picture 1" descr="A diagram of a virtual reality device&#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0" cy="2836927"/>
                    </a:xfrm>
                    <a:prstGeom prst="rect">
                      <a:avLst/>
                    </a:prstGeom>
                    <a:noFill/>
                    <a:ln>
                      <a:noFill/>
                    </a:ln>
                  </pic:spPr>
                </pic:pic>
              </a:graphicData>
            </a:graphic>
          </wp:inline>
        </w:drawing>
      </w:r>
    </w:p>
    <w:p w14:paraId="7967FEB3" w14:textId="6B70B13E" w:rsidR="007661A2" w:rsidRDefault="007661A2" w:rsidP="007661A2">
      <w:pPr>
        <w:pStyle w:val="Quote"/>
        <w:spacing w:before="0"/>
      </w:pPr>
      <w:bookmarkStart w:id="9" w:name="_Ref202345136"/>
      <w:r>
        <w:t xml:space="preserve">Figure </w:t>
      </w:r>
      <w:r>
        <w:fldChar w:fldCharType="begin"/>
      </w:r>
      <w:r>
        <w:instrText xml:space="preserve"> SEQ Figure \* ARABIC </w:instrText>
      </w:r>
      <w:r>
        <w:fldChar w:fldCharType="separate"/>
      </w:r>
      <w:r w:rsidR="002E4EA1">
        <w:rPr>
          <w:noProof/>
        </w:rPr>
        <w:t>5</w:t>
      </w:r>
      <w:r>
        <w:fldChar w:fldCharType="end"/>
      </w:r>
      <w:bookmarkEnd w:id="9"/>
      <w:r>
        <w:t>: Visualization of alternate near-horizon partial surfaces</w:t>
      </w:r>
      <w:r w:rsidR="003A30DE">
        <w:t xml:space="preserve">, top: </w:t>
      </w:r>
      <w:r>
        <w:t>±</w:t>
      </w:r>
      <w:r w:rsidR="003A30DE">
        <w:t>45</w:t>
      </w:r>
      <w:r>
        <w:t>° angular width</w:t>
      </w:r>
      <w:r w:rsidR="003A30DE">
        <w:t xml:space="preserve"> with full azimuthal coverage, cent</w:t>
      </w:r>
      <w:r w:rsidR="00951084">
        <w:t>re: ±</w:t>
      </w:r>
      <w:r w:rsidR="00EF74DA">
        <w:t>45</w:t>
      </w:r>
      <w:r w:rsidR="00951084">
        <w:t>° angular width with 270° azimuthal coverage</w:t>
      </w:r>
      <w:r w:rsidR="005A6A29">
        <w:t>, bottom: ±</w:t>
      </w:r>
      <w:r w:rsidR="00EF74DA">
        <w:t>30</w:t>
      </w:r>
      <w:r w:rsidR="005A6A29">
        <w:t>° angular width with 270° azimuthal coverage</w:t>
      </w:r>
      <w:r>
        <w:t>.</w:t>
      </w:r>
    </w:p>
    <w:p w14:paraId="49D53A04" w14:textId="77777777" w:rsidR="007661A2" w:rsidRDefault="007661A2" w:rsidP="00650ACB"/>
    <w:p w14:paraId="0A8ABAF8" w14:textId="77777777" w:rsidR="00BA1DF9" w:rsidRDefault="00BA1DF9" w:rsidP="00BA1DF9">
      <w:pPr>
        <w:pStyle w:val="Heading1"/>
      </w:pPr>
      <w:r>
        <w:lastRenderedPageBreak/>
        <w:t>Conclusion</w:t>
      </w:r>
    </w:p>
    <w:p w14:paraId="0A970B47" w14:textId="77777777" w:rsidR="00BA1DF9" w:rsidRDefault="00BA1DF9" w:rsidP="00BA1DF9">
      <w:r>
        <w:t>The following observations and conclusions were made in this contribution.</w:t>
      </w:r>
    </w:p>
    <w:p w14:paraId="7C731462" w14:textId="77777777" w:rsidR="00430BFA" w:rsidRPr="00430BFA" w:rsidRDefault="00430BFA" w:rsidP="00BA1DF9">
      <w:pPr>
        <w:rPr>
          <w:b/>
        </w:rPr>
      </w:pPr>
      <w:r w:rsidRPr="00430BFA">
        <w:rPr>
          <w:b/>
        </w:rPr>
        <w:fldChar w:fldCharType="begin"/>
      </w:r>
      <w:r w:rsidRPr="00430BFA">
        <w:rPr>
          <w:b/>
        </w:rPr>
        <w:instrText xml:space="preserve"> REF _Ref202345744 \h </w:instrText>
      </w:r>
      <w:r w:rsidRPr="00430BFA">
        <w:rPr>
          <w:b/>
        </w:rPr>
      </w:r>
      <w:r w:rsidRPr="00430BFA">
        <w:rPr>
          <w:b/>
        </w:rPr>
        <w:fldChar w:fldCharType="separate"/>
      </w:r>
      <w:r w:rsidRPr="00430BFA">
        <w:rPr>
          <w:b/>
        </w:rPr>
        <w:t xml:space="preserve">Proposal </w:t>
      </w:r>
      <w:r w:rsidRPr="00430BFA">
        <w:rPr>
          <w:b/>
          <w:noProof/>
        </w:rPr>
        <w:t>1</w:t>
      </w:r>
      <w:r w:rsidRPr="00430BFA">
        <w:rPr>
          <w:b/>
        </w:rPr>
        <w:t>: If low and high-priority regions are defined, define requirements for the high-priority directions only, i.e., not for the low-priority directions</w:t>
      </w:r>
      <w:r w:rsidRPr="00430BFA">
        <w:rPr>
          <w:b/>
        </w:rPr>
        <w:fldChar w:fldCharType="end"/>
      </w:r>
    </w:p>
    <w:p w14:paraId="48989660" w14:textId="77777777" w:rsidR="00430BFA" w:rsidRPr="00430BFA" w:rsidRDefault="00430BFA" w:rsidP="00BA1DF9">
      <w:pPr>
        <w:rPr>
          <w:b/>
        </w:rPr>
      </w:pPr>
      <w:r w:rsidRPr="00430BFA">
        <w:rPr>
          <w:b/>
        </w:rPr>
        <w:fldChar w:fldCharType="begin"/>
      </w:r>
      <w:r w:rsidRPr="00430BFA">
        <w:rPr>
          <w:b/>
        </w:rPr>
        <w:instrText xml:space="preserve"> REF _Ref202345745 \h </w:instrText>
      </w:r>
      <w:r w:rsidRPr="00430BFA">
        <w:rPr>
          <w:b/>
        </w:rPr>
      </w:r>
      <w:r w:rsidRPr="00430BFA">
        <w:rPr>
          <w:b/>
        </w:rPr>
        <w:fldChar w:fldCharType="separate"/>
      </w:r>
      <w:r w:rsidRPr="00430BFA">
        <w:rPr>
          <w:b/>
        </w:rPr>
        <w:t xml:space="preserve">Proposal </w:t>
      </w:r>
      <w:r w:rsidRPr="00430BFA">
        <w:rPr>
          <w:b/>
          <w:noProof/>
        </w:rPr>
        <w:t>2</w:t>
      </w:r>
      <w:r w:rsidRPr="00430BFA">
        <w:rPr>
          <w:b/>
        </w:rPr>
        <w:t>: Do not consider multiple partial conical surfaces as high-priority directions to avoid complexity for system vendors</w:t>
      </w:r>
      <w:r w:rsidRPr="00430BFA">
        <w:rPr>
          <w:b/>
        </w:rPr>
        <w:fldChar w:fldCharType="end"/>
      </w:r>
    </w:p>
    <w:p w14:paraId="0C7411B5" w14:textId="77777777" w:rsidR="00430BFA" w:rsidRPr="00430BFA" w:rsidRDefault="00430BFA" w:rsidP="00BA1DF9">
      <w:pPr>
        <w:rPr>
          <w:b/>
        </w:rPr>
      </w:pPr>
      <w:r w:rsidRPr="00430BFA">
        <w:rPr>
          <w:b/>
        </w:rPr>
        <w:fldChar w:fldCharType="begin"/>
      </w:r>
      <w:r w:rsidRPr="00430BFA">
        <w:rPr>
          <w:b/>
        </w:rPr>
        <w:instrText xml:space="preserve"> REF _Ref202345746 \h </w:instrText>
      </w:r>
      <w:r w:rsidRPr="00430BFA">
        <w:rPr>
          <w:b/>
        </w:rPr>
      </w:r>
      <w:r w:rsidRPr="00430BFA">
        <w:rPr>
          <w:b/>
        </w:rPr>
        <w:fldChar w:fldCharType="separate"/>
      </w:r>
      <w:r w:rsidRPr="00430BFA">
        <w:rPr>
          <w:b/>
        </w:rPr>
        <w:t xml:space="preserve">Proposal </w:t>
      </w:r>
      <w:r w:rsidRPr="00430BFA">
        <w:rPr>
          <w:b/>
          <w:noProof/>
        </w:rPr>
        <w:t>3</w:t>
      </w:r>
      <w:r w:rsidRPr="00430BFA">
        <w:rPr>
          <w:b/>
        </w:rPr>
        <w:t>: If high-priority regions are considered for XR devices, select the near-horizon as high-priority direction and define near-horizon partial integrated metrics, NHPRP for TX and NHPRS for RX, for XR devices rather than full TRP/TRS metrics</w:t>
      </w:r>
      <w:r w:rsidRPr="00430BFA">
        <w:rPr>
          <w:b/>
        </w:rPr>
        <w:fldChar w:fldCharType="end"/>
      </w:r>
    </w:p>
    <w:p w14:paraId="1B96E2DC" w14:textId="77777777" w:rsidR="00430BFA" w:rsidRPr="00430BFA" w:rsidRDefault="00430BFA" w:rsidP="00BA1DF9">
      <w:pPr>
        <w:rPr>
          <w:b/>
        </w:rPr>
      </w:pPr>
      <w:r w:rsidRPr="00430BFA">
        <w:rPr>
          <w:b/>
        </w:rPr>
        <w:fldChar w:fldCharType="begin"/>
      </w:r>
      <w:r w:rsidRPr="00430BFA">
        <w:rPr>
          <w:b/>
        </w:rPr>
        <w:instrText xml:space="preserve"> REF _Ref202345747 \h </w:instrText>
      </w:r>
      <w:r w:rsidRPr="00430BFA">
        <w:rPr>
          <w:b/>
        </w:rPr>
      </w:r>
      <w:r w:rsidRPr="00430BFA">
        <w:rPr>
          <w:b/>
        </w:rPr>
        <w:fldChar w:fldCharType="separate"/>
      </w:r>
      <w:r w:rsidRPr="00430BFA">
        <w:rPr>
          <w:b/>
        </w:rPr>
        <w:t xml:space="preserve">Proposal </w:t>
      </w:r>
      <w:r w:rsidRPr="00430BFA">
        <w:rPr>
          <w:b/>
          <w:noProof/>
        </w:rPr>
        <w:t>4</w:t>
      </w:r>
      <w:r w:rsidRPr="00430BFA">
        <w:rPr>
          <w:b/>
        </w:rPr>
        <w:t>: Feedback from operators and OEMs is requested on the range of near horizon coverage, e.g., ±30° or ±45°, and whether full (360°) or rather partial azimuthal coverage (270°) is more desirable</w:t>
      </w:r>
      <w:r w:rsidRPr="00430BFA">
        <w:rPr>
          <w:b/>
        </w:rPr>
        <w:fldChar w:fldCharType="end"/>
      </w:r>
    </w:p>
    <w:p w14:paraId="3A59A2D3" w14:textId="77777777" w:rsidR="00BA1DF9" w:rsidRDefault="00BA1DF9" w:rsidP="00BA1DF9">
      <w:pPr>
        <w:pStyle w:val="Heading1"/>
      </w:pPr>
      <w:r>
        <w:t>References</w:t>
      </w:r>
    </w:p>
    <w:p w14:paraId="57C2D48C" w14:textId="77777777" w:rsidR="00690EA1" w:rsidRDefault="00690EA1" w:rsidP="00690EA1">
      <w:pPr>
        <w:pStyle w:val="ListParagraph"/>
        <w:numPr>
          <w:ilvl w:val="0"/>
          <w:numId w:val="2"/>
        </w:numPr>
      </w:pPr>
      <w:bookmarkStart w:id="10" w:name="_Ref200009631"/>
      <w:bookmarkStart w:id="11" w:name="_Ref200008337"/>
      <w:bookmarkStart w:id="12" w:name="_Ref196201082"/>
      <w:r>
        <w:t>R4-2505849, On Partial Radiated Surfaces, Keysight Technologies, 3GPP TSG-RAN4 Meeting #115, May 2025</w:t>
      </w:r>
      <w:bookmarkEnd w:id="10"/>
    </w:p>
    <w:p w14:paraId="7D32591B" w14:textId="1F1FCFFE" w:rsidR="00DE1363" w:rsidRDefault="005C67FA" w:rsidP="00930438">
      <w:pPr>
        <w:pStyle w:val="ListParagraph"/>
        <w:numPr>
          <w:ilvl w:val="0"/>
          <w:numId w:val="2"/>
        </w:numPr>
      </w:pPr>
      <w:bookmarkStart w:id="13" w:name="_Ref200009620"/>
      <w:r>
        <w:t>R4-2508782, Way Forward for [115][337] TRP_TRS_MIMO_OTA_Ph3, vivo, 3GPP TSG-RAN WG4 Meeting #115, May 2025</w:t>
      </w:r>
      <w:bookmarkEnd w:id="11"/>
      <w:bookmarkEnd w:id="13"/>
    </w:p>
    <w:p w14:paraId="32B7FBD9" w14:textId="6312AFBC" w:rsidR="003E6D96" w:rsidRDefault="00563DCF" w:rsidP="00930438">
      <w:pPr>
        <w:pStyle w:val="ListParagraph"/>
        <w:numPr>
          <w:ilvl w:val="0"/>
          <w:numId w:val="2"/>
        </w:numPr>
      </w:pPr>
      <w:bookmarkStart w:id="14" w:name="_Ref202197213"/>
      <w:r>
        <w:t xml:space="preserve">R4- 2507005, Discussion on OTA requirements for XR </w:t>
      </w:r>
      <w:proofErr w:type="spellStart"/>
      <w:r>
        <w:t>Headworn</w:t>
      </w:r>
      <w:proofErr w:type="spellEnd"/>
      <w:r>
        <w:t xml:space="preserve"> Devices, Vodafone, Telecom Italia S.p.A., Deutsche Telekom, 3GPP TSG RAN WG4 Meeting #115, May 2025</w:t>
      </w:r>
      <w:bookmarkEnd w:id="14"/>
    </w:p>
    <w:p w14:paraId="4DB2599C" w14:textId="0CA9189E" w:rsidR="008851FA" w:rsidRDefault="00590A9B" w:rsidP="00BC7E43">
      <w:pPr>
        <w:pStyle w:val="ListParagraph"/>
        <w:numPr>
          <w:ilvl w:val="0"/>
          <w:numId w:val="2"/>
        </w:numPr>
      </w:pPr>
      <w:bookmarkStart w:id="15" w:name="_Ref202263478"/>
      <w:bookmarkStart w:id="16" w:name="_Ref200009688"/>
      <w:r>
        <w:t>R4-2505849, On Partial Radiated Surfaces, Keysight Technologies, 3GPP TSG-RAN4 Meeting #115, May 20</w:t>
      </w:r>
      <w:bookmarkEnd w:id="15"/>
      <w:r w:rsidR="007F241E">
        <w:t>25</w:t>
      </w:r>
    </w:p>
    <w:p w14:paraId="67CF4332" w14:textId="77777777" w:rsidR="00BC7E43" w:rsidRDefault="00BC7E43" w:rsidP="00BC7E43"/>
    <w:bookmarkEnd w:id="12"/>
    <w:bookmarkEnd w:id="16"/>
    <w:sectPr w:rsidR="00BC7E43" w:rsidSect="00BC7E43">
      <w:headerReference w:type="even" r:id="rId24"/>
      <w:headerReference w:type="default" r:id="rId25"/>
      <w:headerReference w:type="first" r:id="rId26"/>
      <w:footnotePr>
        <w:numRestart w:val="eachSect"/>
      </w:footnotePr>
      <w:pgSz w:w="11907" w:h="16840" w:code="9"/>
      <w:pgMar w:top="820"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08C5D" w14:textId="77777777" w:rsidR="00571EB7" w:rsidRDefault="00571EB7">
      <w:r>
        <w:separator/>
      </w:r>
    </w:p>
  </w:endnote>
  <w:endnote w:type="continuationSeparator" w:id="0">
    <w:p w14:paraId="4E98BDD5" w14:textId="77777777" w:rsidR="00571EB7" w:rsidRDefault="00571EB7">
      <w:r>
        <w:continuationSeparator/>
      </w:r>
    </w:p>
  </w:endnote>
  <w:endnote w:type="continuationNotice" w:id="1">
    <w:p w14:paraId="1B2BF61B" w14:textId="77777777" w:rsidR="00571EB7" w:rsidRDefault="00571E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7FBDC6" w14:textId="77777777" w:rsidR="00571EB7" w:rsidRDefault="00571EB7">
      <w:r>
        <w:separator/>
      </w:r>
    </w:p>
  </w:footnote>
  <w:footnote w:type="continuationSeparator" w:id="0">
    <w:p w14:paraId="5F81BB72" w14:textId="77777777" w:rsidR="00571EB7" w:rsidRDefault="00571EB7">
      <w:r>
        <w:continuationSeparator/>
      </w:r>
    </w:p>
  </w:footnote>
  <w:footnote w:type="continuationNotice" w:id="1">
    <w:p w14:paraId="32FBAB84" w14:textId="77777777" w:rsidR="00571EB7" w:rsidRDefault="00571E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D6E3A"/>
    <w:multiLevelType w:val="hybridMultilevel"/>
    <w:tmpl w:val="DC6EE166"/>
    <w:lvl w:ilvl="0" w:tplc="691E20B4">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6492A94"/>
    <w:multiLevelType w:val="hybridMultilevel"/>
    <w:tmpl w:val="7ED8C68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55AB554C"/>
    <w:multiLevelType w:val="hybridMultilevel"/>
    <w:tmpl w:val="2F4A9A8E"/>
    <w:lvl w:ilvl="0" w:tplc="81F0599C">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 w15:restartNumberingAfterBreak="0">
    <w:nsid w:val="6BCA7DEA"/>
    <w:multiLevelType w:val="hybridMultilevel"/>
    <w:tmpl w:val="BAAE25B6"/>
    <w:lvl w:ilvl="0" w:tplc="5728030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74366605">
    <w:abstractNumId w:val="0"/>
  </w:num>
  <w:num w:numId="2" w16cid:durableId="187915081">
    <w:abstractNumId w:val="3"/>
  </w:num>
  <w:num w:numId="3" w16cid:durableId="396779160">
    <w:abstractNumId w:val="4"/>
  </w:num>
  <w:num w:numId="4" w16cid:durableId="541599305">
    <w:abstractNumId w:val="2"/>
  </w:num>
  <w:num w:numId="5" w16cid:durableId="589434697">
    <w:abstractNumId w:val="1"/>
  </w:num>
  <w:num w:numId="6" w16cid:durableId="13511827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CC5"/>
    <w:rsid w:val="000169D1"/>
    <w:rsid w:val="00016A80"/>
    <w:rsid w:val="00022C1F"/>
    <w:rsid w:val="00022E4A"/>
    <w:rsid w:val="0003132A"/>
    <w:rsid w:val="00032513"/>
    <w:rsid w:val="00036E13"/>
    <w:rsid w:val="00040B46"/>
    <w:rsid w:val="000417C1"/>
    <w:rsid w:val="00044F7A"/>
    <w:rsid w:val="00064661"/>
    <w:rsid w:val="00065FEC"/>
    <w:rsid w:val="00066F6B"/>
    <w:rsid w:val="00070E09"/>
    <w:rsid w:val="00072990"/>
    <w:rsid w:val="000806A9"/>
    <w:rsid w:val="00082360"/>
    <w:rsid w:val="000A0EE9"/>
    <w:rsid w:val="000A6394"/>
    <w:rsid w:val="000A7FA2"/>
    <w:rsid w:val="000B4D21"/>
    <w:rsid w:val="000B7FED"/>
    <w:rsid w:val="000C038A"/>
    <w:rsid w:val="000C05F6"/>
    <w:rsid w:val="000C39C8"/>
    <w:rsid w:val="000C5024"/>
    <w:rsid w:val="000C6598"/>
    <w:rsid w:val="000C6C2F"/>
    <w:rsid w:val="000D1AF7"/>
    <w:rsid w:val="000D44B3"/>
    <w:rsid w:val="000E44EF"/>
    <w:rsid w:val="000E5FAB"/>
    <w:rsid w:val="000E6DCB"/>
    <w:rsid w:val="000F328A"/>
    <w:rsid w:val="0011138C"/>
    <w:rsid w:val="001121C1"/>
    <w:rsid w:val="00113BEB"/>
    <w:rsid w:val="001156A7"/>
    <w:rsid w:val="001300F6"/>
    <w:rsid w:val="00134146"/>
    <w:rsid w:val="0013480E"/>
    <w:rsid w:val="00135B4F"/>
    <w:rsid w:val="001376EC"/>
    <w:rsid w:val="00141EBD"/>
    <w:rsid w:val="00145D43"/>
    <w:rsid w:val="00146696"/>
    <w:rsid w:val="00152430"/>
    <w:rsid w:val="00153F0B"/>
    <w:rsid w:val="00161829"/>
    <w:rsid w:val="001632A5"/>
    <w:rsid w:val="00163914"/>
    <w:rsid w:val="0017108D"/>
    <w:rsid w:val="00171C49"/>
    <w:rsid w:val="0017644E"/>
    <w:rsid w:val="00181000"/>
    <w:rsid w:val="00192C46"/>
    <w:rsid w:val="001A08B3"/>
    <w:rsid w:val="001A4334"/>
    <w:rsid w:val="001A7B60"/>
    <w:rsid w:val="001B380F"/>
    <w:rsid w:val="001B3EBA"/>
    <w:rsid w:val="001B52F0"/>
    <w:rsid w:val="001B79DD"/>
    <w:rsid w:val="001B7A65"/>
    <w:rsid w:val="001D0F7C"/>
    <w:rsid w:val="001D3B8D"/>
    <w:rsid w:val="001E2847"/>
    <w:rsid w:val="001E41F3"/>
    <w:rsid w:val="001F5EBA"/>
    <w:rsid w:val="00202025"/>
    <w:rsid w:val="002127AC"/>
    <w:rsid w:val="00224F0A"/>
    <w:rsid w:val="00232D92"/>
    <w:rsid w:val="00233B4A"/>
    <w:rsid w:val="002369DF"/>
    <w:rsid w:val="00242E8E"/>
    <w:rsid w:val="0025280C"/>
    <w:rsid w:val="00257C53"/>
    <w:rsid w:val="0026004D"/>
    <w:rsid w:val="002610B1"/>
    <w:rsid w:val="00261575"/>
    <w:rsid w:val="002640DD"/>
    <w:rsid w:val="00275D12"/>
    <w:rsid w:val="00275F52"/>
    <w:rsid w:val="002768ED"/>
    <w:rsid w:val="00276E72"/>
    <w:rsid w:val="00281F2D"/>
    <w:rsid w:val="00284695"/>
    <w:rsid w:val="00284FEB"/>
    <w:rsid w:val="002860C4"/>
    <w:rsid w:val="002974F1"/>
    <w:rsid w:val="002A6159"/>
    <w:rsid w:val="002B0E4F"/>
    <w:rsid w:val="002B1EE2"/>
    <w:rsid w:val="002B5741"/>
    <w:rsid w:val="002C1799"/>
    <w:rsid w:val="002C204C"/>
    <w:rsid w:val="002D3B9C"/>
    <w:rsid w:val="002D5B76"/>
    <w:rsid w:val="002D5C92"/>
    <w:rsid w:val="002E0AB9"/>
    <w:rsid w:val="002E472E"/>
    <w:rsid w:val="002E4EA1"/>
    <w:rsid w:val="002E5660"/>
    <w:rsid w:val="002E5F92"/>
    <w:rsid w:val="002F1C1F"/>
    <w:rsid w:val="002F2F45"/>
    <w:rsid w:val="0030142B"/>
    <w:rsid w:val="0030248C"/>
    <w:rsid w:val="00305409"/>
    <w:rsid w:val="00311916"/>
    <w:rsid w:val="003224EB"/>
    <w:rsid w:val="003231BC"/>
    <w:rsid w:val="0033571B"/>
    <w:rsid w:val="003406ED"/>
    <w:rsid w:val="003579E9"/>
    <w:rsid w:val="00360941"/>
    <w:rsid w:val="003609EF"/>
    <w:rsid w:val="0036231A"/>
    <w:rsid w:val="00363EA2"/>
    <w:rsid w:val="003678B7"/>
    <w:rsid w:val="00374DD4"/>
    <w:rsid w:val="00384F48"/>
    <w:rsid w:val="00387B6F"/>
    <w:rsid w:val="003A18EC"/>
    <w:rsid w:val="003A30DE"/>
    <w:rsid w:val="003B23DA"/>
    <w:rsid w:val="003B23F4"/>
    <w:rsid w:val="003C09B5"/>
    <w:rsid w:val="003C2B3B"/>
    <w:rsid w:val="003C3A85"/>
    <w:rsid w:val="003C574F"/>
    <w:rsid w:val="003C5CF3"/>
    <w:rsid w:val="003D6C3D"/>
    <w:rsid w:val="003D7760"/>
    <w:rsid w:val="003E0F76"/>
    <w:rsid w:val="003E182D"/>
    <w:rsid w:val="003E1A36"/>
    <w:rsid w:val="003E3204"/>
    <w:rsid w:val="003E6C65"/>
    <w:rsid w:val="003E6D96"/>
    <w:rsid w:val="003F24C6"/>
    <w:rsid w:val="004016D3"/>
    <w:rsid w:val="00402CA2"/>
    <w:rsid w:val="00410371"/>
    <w:rsid w:val="004111A0"/>
    <w:rsid w:val="004159CD"/>
    <w:rsid w:val="004242F1"/>
    <w:rsid w:val="00426CEA"/>
    <w:rsid w:val="00426FC6"/>
    <w:rsid w:val="00430BFA"/>
    <w:rsid w:val="0043754E"/>
    <w:rsid w:val="00437B86"/>
    <w:rsid w:val="00441942"/>
    <w:rsid w:val="004419A4"/>
    <w:rsid w:val="0044607C"/>
    <w:rsid w:val="0044678E"/>
    <w:rsid w:val="00460348"/>
    <w:rsid w:val="00464CA6"/>
    <w:rsid w:val="00474201"/>
    <w:rsid w:val="00486B5F"/>
    <w:rsid w:val="004A16E8"/>
    <w:rsid w:val="004A16F3"/>
    <w:rsid w:val="004B75B7"/>
    <w:rsid w:val="004C4C7B"/>
    <w:rsid w:val="004E1FEA"/>
    <w:rsid w:val="004E5A30"/>
    <w:rsid w:val="004F2B6B"/>
    <w:rsid w:val="004F4771"/>
    <w:rsid w:val="004F6116"/>
    <w:rsid w:val="0050286F"/>
    <w:rsid w:val="00504ACB"/>
    <w:rsid w:val="005077AA"/>
    <w:rsid w:val="005141D9"/>
    <w:rsid w:val="0051445B"/>
    <w:rsid w:val="00514749"/>
    <w:rsid w:val="0051580D"/>
    <w:rsid w:val="00515DB3"/>
    <w:rsid w:val="00522823"/>
    <w:rsid w:val="0053584C"/>
    <w:rsid w:val="00540EC9"/>
    <w:rsid w:val="00547111"/>
    <w:rsid w:val="00560F56"/>
    <w:rsid w:val="005632EF"/>
    <w:rsid w:val="00563DCF"/>
    <w:rsid w:val="00571EB7"/>
    <w:rsid w:val="00572F29"/>
    <w:rsid w:val="005814F2"/>
    <w:rsid w:val="00585927"/>
    <w:rsid w:val="00587B40"/>
    <w:rsid w:val="00590A9B"/>
    <w:rsid w:val="00592D74"/>
    <w:rsid w:val="00596D5D"/>
    <w:rsid w:val="005A6A29"/>
    <w:rsid w:val="005C67FA"/>
    <w:rsid w:val="005D15CD"/>
    <w:rsid w:val="005D55D4"/>
    <w:rsid w:val="005E0DF6"/>
    <w:rsid w:val="005E2C44"/>
    <w:rsid w:val="005E2CC0"/>
    <w:rsid w:val="00600637"/>
    <w:rsid w:val="00603B8B"/>
    <w:rsid w:val="006064E7"/>
    <w:rsid w:val="00606DDD"/>
    <w:rsid w:val="00613A80"/>
    <w:rsid w:val="00616D9E"/>
    <w:rsid w:val="00621188"/>
    <w:rsid w:val="006257ED"/>
    <w:rsid w:val="00636237"/>
    <w:rsid w:val="00637664"/>
    <w:rsid w:val="00640B69"/>
    <w:rsid w:val="00650ACB"/>
    <w:rsid w:val="00653DE4"/>
    <w:rsid w:val="00661075"/>
    <w:rsid w:val="00665C47"/>
    <w:rsid w:val="00667C02"/>
    <w:rsid w:val="00671AF1"/>
    <w:rsid w:val="0067487D"/>
    <w:rsid w:val="00690EA1"/>
    <w:rsid w:val="00695808"/>
    <w:rsid w:val="006A672C"/>
    <w:rsid w:val="006B164A"/>
    <w:rsid w:val="006B46FB"/>
    <w:rsid w:val="006B73AC"/>
    <w:rsid w:val="006D0A70"/>
    <w:rsid w:val="006D257F"/>
    <w:rsid w:val="006D53EF"/>
    <w:rsid w:val="006E21FB"/>
    <w:rsid w:val="006E339E"/>
    <w:rsid w:val="006E63AC"/>
    <w:rsid w:val="006F2E3B"/>
    <w:rsid w:val="006F545D"/>
    <w:rsid w:val="007007BD"/>
    <w:rsid w:val="00706C86"/>
    <w:rsid w:val="007160A6"/>
    <w:rsid w:val="0071638A"/>
    <w:rsid w:val="00721BC3"/>
    <w:rsid w:val="0074358B"/>
    <w:rsid w:val="00752303"/>
    <w:rsid w:val="007540DF"/>
    <w:rsid w:val="00761106"/>
    <w:rsid w:val="007661A2"/>
    <w:rsid w:val="0078224E"/>
    <w:rsid w:val="00783A89"/>
    <w:rsid w:val="00785596"/>
    <w:rsid w:val="00785C3F"/>
    <w:rsid w:val="00792342"/>
    <w:rsid w:val="007977A8"/>
    <w:rsid w:val="007A48F8"/>
    <w:rsid w:val="007A5A46"/>
    <w:rsid w:val="007B512A"/>
    <w:rsid w:val="007C0C6C"/>
    <w:rsid w:val="007C2097"/>
    <w:rsid w:val="007C71B8"/>
    <w:rsid w:val="007D1865"/>
    <w:rsid w:val="007D6A07"/>
    <w:rsid w:val="007E1A15"/>
    <w:rsid w:val="007E21CC"/>
    <w:rsid w:val="007E6DAA"/>
    <w:rsid w:val="007F241E"/>
    <w:rsid w:val="007F38A7"/>
    <w:rsid w:val="007F7259"/>
    <w:rsid w:val="007F7D19"/>
    <w:rsid w:val="008002BB"/>
    <w:rsid w:val="008040A8"/>
    <w:rsid w:val="0080663D"/>
    <w:rsid w:val="00811934"/>
    <w:rsid w:val="00815B44"/>
    <w:rsid w:val="00815E6F"/>
    <w:rsid w:val="00817BD3"/>
    <w:rsid w:val="00824AAF"/>
    <w:rsid w:val="00826881"/>
    <w:rsid w:val="00826E53"/>
    <w:rsid w:val="008279FA"/>
    <w:rsid w:val="00831254"/>
    <w:rsid w:val="00846CCE"/>
    <w:rsid w:val="008514F8"/>
    <w:rsid w:val="008547FA"/>
    <w:rsid w:val="00857B54"/>
    <w:rsid w:val="00860EB5"/>
    <w:rsid w:val="00861E02"/>
    <w:rsid w:val="008626E7"/>
    <w:rsid w:val="008647D2"/>
    <w:rsid w:val="00865703"/>
    <w:rsid w:val="00865EC5"/>
    <w:rsid w:val="00870EE7"/>
    <w:rsid w:val="00872D91"/>
    <w:rsid w:val="0087643D"/>
    <w:rsid w:val="008851FA"/>
    <w:rsid w:val="00885971"/>
    <w:rsid w:val="008863B9"/>
    <w:rsid w:val="00891EF7"/>
    <w:rsid w:val="008962A5"/>
    <w:rsid w:val="008A11A5"/>
    <w:rsid w:val="008A1AD8"/>
    <w:rsid w:val="008A2E50"/>
    <w:rsid w:val="008A436E"/>
    <w:rsid w:val="008A45A6"/>
    <w:rsid w:val="008B14A2"/>
    <w:rsid w:val="008C079D"/>
    <w:rsid w:val="008C6BD9"/>
    <w:rsid w:val="008D021B"/>
    <w:rsid w:val="008D3CCC"/>
    <w:rsid w:val="008D7E59"/>
    <w:rsid w:val="008E7180"/>
    <w:rsid w:val="008F3789"/>
    <w:rsid w:val="008F3CD9"/>
    <w:rsid w:val="008F686C"/>
    <w:rsid w:val="00902361"/>
    <w:rsid w:val="009148DE"/>
    <w:rsid w:val="009152E5"/>
    <w:rsid w:val="00920749"/>
    <w:rsid w:val="00922C89"/>
    <w:rsid w:val="00930438"/>
    <w:rsid w:val="00940623"/>
    <w:rsid w:val="00941E30"/>
    <w:rsid w:val="009446D5"/>
    <w:rsid w:val="009472B6"/>
    <w:rsid w:val="00951084"/>
    <w:rsid w:val="0095243B"/>
    <w:rsid w:val="009531B0"/>
    <w:rsid w:val="00963304"/>
    <w:rsid w:val="00972E4D"/>
    <w:rsid w:val="009741B3"/>
    <w:rsid w:val="009777D9"/>
    <w:rsid w:val="00984BB1"/>
    <w:rsid w:val="0098697C"/>
    <w:rsid w:val="00987165"/>
    <w:rsid w:val="009901CC"/>
    <w:rsid w:val="00991622"/>
    <w:rsid w:val="00991B88"/>
    <w:rsid w:val="00995059"/>
    <w:rsid w:val="009A3589"/>
    <w:rsid w:val="009A5753"/>
    <w:rsid w:val="009A579D"/>
    <w:rsid w:val="009C4E61"/>
    <w:rsid w:val="009E03F0"/>
    <w:rsid w:val="009E2F5F"/>
    <w:rsid w:val="009E3297"/>
    <w:rsid w:val="009E6474"/>
    <w:rsid w:val="009F19F8"/>
    <w:rsid w:val="009F734F"/>
    <w:rsid w:val="00A00F62"/>
    <w:rsid w:val="00A0115F"/>
    <w:rsid w:val="00A07B06"/>
    <w:rsid w:val="00A1395B"/>
    <w:rsid w:val="00A15117"/>
    <w:rsid w:val="00A17C78"/>
    <w:rsid w:val="00A246B6"/>
    <w:rsid w:val="00A34092"/>
    <w:rsid w:val="00A41033"/>
    <w:rsid w:val="00A42425"/>
    <w:rsid w:val="00A43F55"/>
    <w:rsid w:val="00A47E70"/>
    <w:rsid w:val="00A50A99"/>
    <w:rsid w:val="00A50CF0"/>
    <w:rsid w:val="00A56CD9"/>
    <w:rsid w:val="00A63645"/>
    <w:rsid w:val="00A70D48"/>
    <w:rsid w:val="00A7671C"/>
    <w:rsid w:val="00A77093"/>
    <w:rsid w:val="00A77C15"/>
    <w:rsid w:val="00A86C6D"/>
    <w:rsid w:val="00A87E4E"/>
    <w:rsid w:val="00A9562B"/>
    <w:rsid w:val="00A9608B"/>
    <w:rsid w:val="00A96140"/>
    <w:rsid w:val="00AA1A80"/>
    <w:rsid w:val="00AA1CC5"/>
    <w:rsid w:val="00AA2CBC"/>
    <w:rsid w:val="00AA2FCF"/>
    <w:rsid w:val="00AA4B23"/>
    <w:rsid w:val="00AB0F8E"/>
    <w:rsid w:val="00AB134C"/>
    <w:rsid w:val="00AB3816"/>
    <w:rsid w:val="00AC3B9E"/>
    <w:rsid w:val="00AC554C"/>
    <w:rsid w:val="00AC5820"/>
    <w:rsid w:val="00AC7514"/>
    <w:rsid w:val="00AC75B6"/>
    <w:rsid w:val="00AD05D8"/>
    <w:rsid w:val="00AD0C3F"/>
    <w:rsid w:val="00AD0F0B"/>
    <w:rsid w:val="00AD1CD8"/>
    <w:rsid w:val="00AD7F2B"/>
    <w:rsid w:val="00AE45A8"/>
    <w:rsid w:val="00AF4604"/>
    <w:rsid w:val="00AF57C1"/>
    <w:rsid w:val="00AF6487"/>
    <w:rsid w:val="00B0110D"/>
    <w:rsid w:val="00B116BC"/>
    <w:rsid w:val="00B216FB"/>
    <w:rsid w:val="00B258BB"/>
    <w:rsid w:val="00B2783C"/>
    <w:rsid w:val="00B3148E"/>
    <w:rsid w:val="00B344EE"/>
    <w:rsid w:val="00B350C9"/>
    <w:rsid w:val="00B40CED"/>
    <w:rsid w:val="00B50C87"/>
    <w:rsid w:val="00B51E0A"/>
    <w:rsid w:val="00B67B97"/>
    <w:rsid w:val="00B832C5"/>
    <w:rsid w:val="00B93777"/>
    <w:rsid w:val="00B95A78"/>
    <w:rsid w:val="00B9607C"/>
    <w:rsid w:val="00B968C8"/>
    <w:rsid w:val="00BA1DF9"/>
    <w:rsid w:val="00BA3EC5"/>
    <w:rsid w:val="00BA4E5F"/>
    <w:rsid w:val="00BA51D9"/>
    <w:rsid w:val="00BA76CE"/>
    <w:rsid w:val="00BA76F1"/>
    <w:rsid w:val="00BB5DFC"/>
    <w:rsid w:val="00BC00E2"/>
    <w:rsid w:val="00BC3184"/>
    <w:rsid w:val="00BC47BE"/>
    <w:rsid w:val="00BC66BB"/>
    <w:rsid w:val="00BC7B32"/>
    <w:rsid w:val="00BC7E43"/>
    <w:rsid w:val="00BD279D"/>
    <w:rsid w:val="00BD6A57"/>
    <w:rsid w:val="00BD6BB8"/>
    <w:rsid w:val="00BF0D5D"/>
    <w:rsid w:val="00BF641A"/>
    <w:rsid w:val="00C02716"/>
    <w:rsid w:val="00C04367"/>
    <w:rsid w:val="00C07BFE"/>
    <w:rsid w:val="00C21775"/>
    <w:rsid w:val="00C34398"/>
    <w:rsid w:val="00C46672"/>
    <w:rsid w:val="00C600E1"/>
    <w:rsid w:val="00C6076D"/>
    <w:rsid w:val="00C6253F"/>
    <w:rsid w:val="00C64A23"/>
    <w:rsid w:val="00C66BA2"/>
    <w:rsid w:val="00C77999"/>
    <w:rsid w:val="00C80821"/>
    <w:rsid w:val="00C84B48"/>
    <w:rsid w:val="00C870F6"/>
    <w:rsid w:val="00C907B5"/>
    <w:rsid w:val="00C95985"/>
    <w:rsid w:val="00C9765E"/>
    <w:rsid w:val="00CA1D99"/>
    <w:rsid w:val="00CA7660"/>
    <w:rsid w:val="00CC3FD7"/>
    <w:rsid w:val="00CC5026"/>
    <w:rsid w:val="00CC68D0"/>
    <w:rsid w:val="00CD1276"/>
    <w:rsid w:val="00CD1475"/>
    <w:rsid w:val="00CD3EFF"/>
    <w:rsid w:val="00CD610C"/>
    <w:rsid w:val="00CE4DE4"/>
    <w:rsid w:val="00D01D73"/>
    <w:rsid w:val="00D03F9A"/>
    <w:rsid w:val="00D06D51"/>
    <w:rsid w:val="00D103D8"/>
    <w:rsid w:val="00D12B71"/>
    <w:rsid w:val="00D24991"/>
    <w:rsid w:val="00D3699A"/>
    <w:rsid w:val="00D3740A"/>
    <w:rsid w:val="00D43A64"/>
    <w:rsid w:val="00D44726"/>
    <w:rsid w:val="00D467BD"/>
    <w:rsid w:val="00D50255"/>
    <w:rsid w:val="00D6114B"/>
    <w:rsid w:val="00D64745"/>
    <w:rsid w:val="00D657C3"/>
    <w:rsid w:val="00D66520"/>
    <w:rsid w:val="00D720F4"/>
    <w:rsid w:val="00D772BD"/>
    <w:rsid w:val="00D8358B"/>
    <w:rsid w:val="00D83591"/>
    <w:rsid w:val="00D83CC3"/>
    <w:rsid w:val="00D84AE9"/>
    <w:rsid w:val="00D854F6"/>
    <w:rsid w:val="00D87157"/>
    <w:rsid w:val="00D9124E"/>
    <w:rsid w:val="00D92840"/>
    <w:rsid w:val="00D97464"/>
    <w:rsid w:val="00DC02C8"/>
    <w:rsid w:val="00DC0BA1"/>
    <w:rsid w:val="00DC3237"/>
    <w:rsid w:val="00DC575C"/>
    <w:rsid w:val="00DD39B1"/>
    <w:rsid w:val="00DE028D"/>
    <w:rsid w:val="00DE1363"/>
    <w:rsid w:val="00DE1A50"/>
    <w:rsid w:val="00DE34CF"/>
    <w:rsid w:val="00DE4FF8"/>
    <w:rsid w:val="00DE6252"/>
    <w:rsid w:val="00DF0EA4"/>
    <w:rsid w:val="00E03A41"/>
    <w:rsid w:val="00E07954"/>
    <w:rsid w:val="00E100CD"/>
    <w:rsid w:val="00E13F3D"/>
    <w:rsid w:val="00E26D6E"/>
    <w:rsid w:val="00E3183B"/>
    <w:rsid w:val="00E33A3D"/>
    <w:rsid w:val="00E34898"/>
    <w:rsid w:val="00E409BD"/>
    <w:rsid w:val="00E41342"/>
    <w:rsid w:val="00E44F77"/>
    <w:rsid w:val="00E44F95"/>
    <w:rsid w:val="00E57299"/>
    <w:rsid w:val="00E60ADA"/>
    <w:rsid w:val="00E619DB"/>
    <w:rsid w:val="00E76D4F"/>
    <w:rsid w:val="00E85B94"/>
    <w:rsid w:val="00E97DE0"/>
    <w:rsid w:val="00EA01A6"/>
    <w:rsid w:val="00EA1DF8"/>
    <w:rsid w:val="00EB06C7"/>
    <w:rsid w:val="00EB09B7"/>
    <w:rsid w:val="00EC53BB"/>
    <w:rsid w:val="00ED5596"/>
    <w:rsid w:val="00EE4DEC"/>
    <w:rsid w:val="00EE7D7C"/>
    <w:rsid w:val="00EF2E0D"/>
    <w:rsid w:val="00EF5FEB"/>
    <w:rsid w:val="00EF688E"/>
    <w:rsid w:val="00EF74DA"/>
    <w:rsid w:val="00F07B2A"/>
    <w:rsid w:val="00F07E67"/>
    <w:rsid w:val="00F132D2"/>
    <w:rsid w:val="00F16052"/>
    <w:rsid w:val="00F172C6"/>
    <w:rsid w:val="00F25D98"/>
    <w:rsid w:val="00F300FB"/>
    <w:rsid w:val="00F370D2"/>
    <w:rsid w:val="00F43C53"/>
    <w:rsid w:val="00F43CF1"/>
    <w:rsid w:val="00F67FCA"/>
    <w:rsid w:val="00F70144"/>
    <w:rsid w:val="00F75CF4"/>
    <w:rsid w:val="00F762CF"/>
    <w:rsid w:val="00F7752F"/>
    <w:rsid w:val="00F82F26"/>
    <w:rsid w:val="00F908BA"/>
    <w:rsid w:val="00FA1230"/>
    <w:rsid w:val="00FA16D0"/>
    <w:rsid w:val="00FB6386"/>
    <w:rsid w:val="00FD4263"/>
    <w:rsid w:val="00FD4709"/>
    <w:rsid w:val="00FD693C"/>
    <w:rsid w:val="00FE5B30"/>
    <w:rsid w:val="00FF2AFC"/>
    <w:rsid w:val="00FF5C4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663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题注"/>
    <w:basedOn w:val="Normal"/>
    <w:next w:val="Normal"/>
    <w:link w:val="CaptionChar1"/>
    <w:uiPriority w:val="35"/>
    <w:unhideWhenUsed/>
    <w:qFormat/>
    <w:rsid w:val="00BA1DF9"/>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列表段,목록 단락,Bullet list,列"/>
    <w:basedOn w:val="Normal"/>
    <w:link w:val="ListParagraphChar"/>
    <w:uiPriority w:val="1"/>
    <w:qFormat/>
    <w:rsid w:val="00BA1DF9"/>
    <w:pPr>
      <w:ind w:left="720"/>
      <w:contextualSpacing/>
    </w:pPr>
  </w:style>
  <w:style w:type="table" w:styleId="TableGrid">
    <w:name w:val="Table Grid"/>
    <w:basedOn w:val="TableNormal"/>
    <w:rsid w:val="00A17C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表段 Char"/>
    <w:link w:val="ListParagraph"/>
    <w:uiPriority w:val="1"/>
    <w:qFormat/>
    <w:locked/>
    <w:rsid w:val="00A17C78"/>
    <w:rPr>
      <w:rFonts w:ascii="Times New Roman" w:hAnsi="Times New Roman"/>
      <w:lang w:val="en-GB" w:eastAsia="en-US"/>
    </w:rPr>
  </w:style>
  <w:style w:type="character" w:customStyle="1" w:styleId="rynqvb">
    <w:name w:val="rynqvb"/>
    <w:basedOn w:val="DefaultParagraphFont"/>
    <w:rsid w:val="00A17C78"/>
  </w:style>
  <w:style w:type="paragraph" w:customStyle="1" w:styleId="Proposal">
    <w:name w:val="Proposal"/>
    <w:basedOn w:val="Normal"/>
    <w:link w:val="ProposalChar"/>
    <w:qFormat/>
    <w:rsid w:val="00D6114B"/>
    <w:pPr>
      <w:tabs>
        <w:tab w:val="left" w:pos="1701"/>
      </w:tabs>
      <w:ind w:left="1701" w:hanging="1701"/>
    </w:pPr>
    <w:rPr>
      <w:b/>
    </w:rPr>
  </w:style>
  <w:style w:type="character" w:customStyle="1" w:styleId="ProposalChar">
    <w:name w:val="Proposal Char"/>
    <w:basedOn w:val="DefaultParagraphFont"/>
    <w:link w:val="Proposal"/>
    <w:rsid w:val="00FF2AFC"/>
    <w:rPr>
      <w:rFonts w:ascii="Times New Roman" w:hAnsi="Times New Roman"/>
      <w:b/>
      <w:lang w:val="en-GB" w:eastAsia="en-US"/>
    </w:rPr>
  </w:style>
  <w:style w:type="paragraph" w:styleId="Quote">
    <w:name w:val="Quote"/>
    <w:basedOn w:val="Normal"/>
    <w:next w:val="Normal"/>
    <w:link w:val="QuoteChar"/>
    <w:uiPriority w:val="29"/>
    <w:qFormat/>
    <w:rsid w:val="00606DD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6DDD"/>
    <w:rPr>
      <w:rFonts w:ascii="Times New Roman" w:hAnsi="Times New Roman"/>
      <w:i/>
      <w:iCs/>
      <w:color w:val="404040" w:themeColor="text1" w:themeTint="BF"/>
      <w:lang w:val="en-GB" w:eastAsia="en-US"/>
    </w:rPr>
  </w:style>
  <w:style w:type="character" w:customStyle="1" w:styleId="Heading1Char">
    <w:name w:val="Heading 1 Char"/>
    <w:basedOn w:val="DefaultParagraphFont"/>
    <w:link w:val="Heading1"/>
    <w:rsid w:val="00363EA2"/>
    <w:rPr>
      <w:rFonts w:ascii="Arial" w:hAnsi="Arial"/>
      <w:sz w:val="36"/>
      <w:lang w:val="en-GB" w:eastAsia="en-US"/>
    </w:rPr>
  </w:style>
  <w:style w:type="character" w:customStyle="1" w:styleId="Heading3Char">
    <w:name w:val="Heading 3 Char"/>
    <w:basedOn w:val="DefaultParagraphFont"/>
    <w:link w:val="Heading3"/>
    <w:rsid w:val="00363EA2"/>
    <w:rPr>
      <w:rFonts w:ascii="Arial" w:hAnsi="Arial"/>
      <w:sz w:val="28"/>
      <w:lang w:val="en-GB" w:eastAsia="en-US"/>
    </w:rPr>
  </w:style>
  <w:style w:type="character" w:styleId="PlaceholderText">
    <w:name w:val="Placeholder Text"/>
    <w:basedOn w:val="DefaultParagraphFont"/>
    <w:uiPriority w:val="99"/>
    <w:semiHidden/>
    <w:rsid w:val="00785C3F"/>
    <w:rPr>
      <w:color w:val="666666"/>
    </w:rPr>
  </w:style>
  <w:style w:type="character" w:customStyle="1" w:styleId="THChar">
    <w:name w:val="TH Char"/>
    <w:link w:val="TH"/>
    <w:qFormat/>
    <w:rsid w:val="008547FA"/>
    <w:rPr>
      <w:rFonts w:ascii="Arial" w:hAnsi="Arial"/>
      <w:b/>
      <w:lang w:val="en-GB" w:eastAsia="en-US"/>
    </w:rPr>
  </w:style>
  <w:style w:type="character" w:customStyle="1" w:styleId="TFChar">
    <w:name w:val="TF Char"/>
    <w:link w:val="TF"/>
    <w:qFormat/>
    <w:rsid w:val="008547FA"/>
    <w:rPr>
      <w:rFonts w:ascii="Arial" w:hAnsi="Arial"/>
      <w:b/>
      <w:lang w:val="en-GB" w:eastAsia="en-US"/>
    </w:rPr>
  </w:style>
  <w:style w:type="paragraph" w:styleId="Revision">
    <w:name w:val="Revision"/>
    <w:hidden/>
    <w:uiPriority w:val="99"/>
    <w:semiHidden/>
    <w:rsid w:val="001D3B8D"/>
    <w:rPr>
      <w:rFonts w:ascii="Times New Roman"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题注 Char"/>
    <w:link w:val="Caption"/>
    <w:uiPriority w:val="35"/>
    <w:rsid w:val="001B380F"/>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ED405D99-CC70-4CA8-AA96-498C41509025}">
  <ds:schemaRefs>
    <ds:schemaRef ds:uri="http://schemas.microsoft.com/sharepoint/v3/contenttype/form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E3BB9289-F9C2-4197-AA35-B4761D4114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F65CF5-718E-4C3D-82FF-238C17125566}">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1814</TotalTime>
  <Pages>6</Pages>
  <Words>1519</Words>
  <Characters>9434</Characters>
  <Application>Microsoft Office Word</Application>
  <DocSecurity>0</DocSecurity>
  <Lines>78</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10932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413</cp:revision>
  <cp:lastPrinted>1900-01-01T08:00:00Z</cp:lastPrinted>
  <dcterms:created xsi:type="dcterms:W3CDTF">2025-06-03T19:25:00Z</dcterms:created>
  <dcterms:modified xsi:type="dcterms:W3CDTF">2025-08-15T16:18:00Z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